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645" w:type="dxa"/>
        <w:jc w:val="left"/>
        <w:tblInd w:w="0" w:type="dxa"/>
        <w:tblLayout w:type="fixed"/>
        <w:tblCellMar>
          <w:top w:w="0" w:type="dxa"/>
          <w:left w:w="0" w:type="dxa"/>
          <w:bottom w:w="0" w:type="dxa"/>
          <w:right w:w="0" w:type="dxa"/>
        </w:tblCellMar>
      </w:tblPr>
      <w:tblGrid>
        <w:gridCol w:w="1439"/>
        <w:gridCol w:w="8205"/>
      </w:tblGrid>
      <w:tr>
        <w:trPr/>
        <w:tc>
          <w:tcPr>
            <w:tcW w:w="1439" w:type="dxa"/>
            <w:tcBorders/>
          </w:tcPr>
          <w:p>
            <w:pPr>
              <w:pStyle w:val="TableContents"/>
              <w:widowControl w:val="false"/>
              <w:bidi w:val="0"/>
              <w:jc w:val="center"/>
              <w:rPr>
                <w:rFonts w:ascii="Poppins;sans-serif" w:hAnsi="Poppins;sans-serif" w:eastAsia="Noto Serif CJK SC" w:cs="Lohit Devanagari"/>
                <w:b/>
                <w:b/>
                <w:bCs/>
                <w:sz w:val="26"/>
                <w:szCs w:val="26"/>
              </w:rPr>
            </w:pPr>
            <w:r>
              <w:rPr>
                <w:rFonts w:eastAsia="Noto Serif CJK SC" w:cs="Lohit Devanagari" w:ascii="Poppins;sans-serif" w:hAnsi="Poppins;sans-serif"/>
                <w:b/>
                <w:bCs/>
                <w:sz w:val="26"/>
                <w:szCs w:val="26"/>
              </w:rPr>
              <w:t>Year</w:t>
            </w:r>
          </w:p>
        </w:tc>
        <w:tc>
          <w:tcPr>
            <w:tcW w:w="8205" w:type="dxa"/>
            <w:tcBorders/>
          </w:tcPr>
          <w:p>
            <w:pPr>
              <w:pStyle w:val="TableContents"/>
              <w:widowControl w:val="false"/>
              <w:bidi w:val="0"/>
              <w:jc w:val="center"/>
              <w:rPr>
                <w:rFonts w:ascii="Poppins;sans-serif" w:hAnsi="Poppins;sans-serif" w:eastAsia="Noto Serif CJK SC" w:cs="Lohit Devanagari"/>
                <w:b/>
                <w:b/>
                <w:bCs/>
                <w:sz w:val="26"/>
                <w:szCs w:val="26"/>
              </w:rPr>
            </w:pPr>
            <w:r>
              <w:rPr>
                <w:rFonts w:eastAsia="Noto Serif CJK SC" w:cs="Lohit Devanagari" w:ascii="Poppins;sans-serif" w:hAnsi="Poppins;sans-serif"/>
                <w:b/>
                <w:bCs/>
                <w:sz w:val="26"/>
                <w:szCs w:val="26"/>
              </w:rPr>
              <w:t>Research Paper</w:t>
            </w:r>
          </w:p>
        </w:tc>
      </w:tr>
      <w:tr>
        <w:trPr/>
        <w:tc>
          <w:tcPr>
            <w:tcW w:w="1439" w:type="dxa"/>
            <w:vMerge w:val="restart"/>
            <w:tcBorders/>
          </w:tcPr>
          <w:p>
            <w:pPr>
              <w:pStyle w:val="TableContents"/>
              <w:widowControl w:val="false"/>
              <w:bidi w:val="0"/>
              <w:jc w:val="left"/>
              <w:rPr>
                <w:sz w:val="36"/>
                <w:szCs w:val="36"/>
              </w:rPr>
            </w:pPr>
            <w:r>
              <w:rPr>
                <w:rFonts w:eastAsia="Noto Serif CJK SC" w:cs="Lohit Devanagari" w:ascii="Poppins;sans-serif" w:hAnsi="Poppins;sans-serif"/>
                <w:sz w:val="36"/>
                <w:szCs w:val="36"/>
              </w:rPr>
              <w:t>2024</w:t>
            </w:r>
          </w:p>
        </w:tc>
        <w:tc>
          <w:tcPr>
            <w:tcW w:w="8205" w:type="dxa"/>
            <w:tcBorders/>
          </w:tcPr>
          <w:p>
            <w:pPr>
              <w:pStyle w:val="TableContents"/>
              <w:widowControl w:val="false"/>
              <w:bidi w:val="0"/>
              <w:jc w:val="left"/>
              <w:rPr>
                <w:rFonts w:ascii="Poppins;sans-serif" w:hAnsi="Poppins;sans-serif" w:eastAsia="Noto Serif CJK SC" w:cs="Lohit Devanagari"/>
                <w:sz w:val="26"/>
                <w:szCs w:val="26"/>
              </w:rPr>
            </w:pPr>
            <w:r>
              <w:rPr>
                <w:rFonts w:eastAsia="Noto Serif CJK SC" w:cs="Lohit Devanagari" w:ascii="Poppins;sans-serif" w:hAnsi="Poppins;sans-serif"/>
                <w:sz w:val="26"/>
                <w:szCs w:val="26"/>
              </w:rPr>
              <w:t xml:space="preserve">1. </w:t>
            </w:r>
            <w:r>
              <w:rPr>
                <w:rFonts w:eastAsia="Noto Serif CJK SC" w:cs="Lohit Devanagari" w:ascii="Poppins;sans-serif" w:hAnsi="Poppins;sans-serif"/>
                <w:b w:val="false"/>
                <w:i w:val="false"/>
                <w:caps w:val="false"/>
                <w:smallCaps w:val="false"/>
                <w:color w:val="212529"/>
                <w:spacing w:val="0"/>
                <w:sz w:val="26"/>
                <w:szCs w:val="26"/>
              </w:rPr>
              <w:t>Gupta, S., Jyoti, Bhati, U., Kesarwani, V. and Shankar, R., 2024. PTF-Vāc: Ab-initio discovery of plant transcription factors binding sites using deep co-learning encoders-decoders. bioRxiv, pp.2024-01.</w:t>
            </w:r>
          </w:p>
        </w:tc>
      </w:tr>
      <w:tr>
        <w:trPr/>
        <w:tc>
          <w:tcPr>
            <w:tcW w:w="1439" w:type="dxa"/>
            <w:vMerge w:val="continue"/>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r>
          </w:p>
        </w:tc>
        <w:tc>
          <w:tcPr>
            <w:tcW w:w="8205" w:type="dxa"/>
            <w:tcBorders/>
          </w:tcPr>
          <w:p>
            <w:pPr>
              <w:pStyle w:val="TableContents"/>
              <w:widowControl w:val="false"/>
              <w:bidi w:val="0"/>
              <w:jc w:val="left"/>
              <w:rPr>
                <w:rFonts w:ascii="Poppins;sans-serif" w:hAnsi="Poppins;sans-serif" w:eastAsia="Noto Serif CJK SC" w:cs="Lohit Devanagari"/>
                <w:sz w:val="26"/>
                <w:szCs w:val="26"/>
              </w:rPr>
            </w:pPr>
            <w:r>
              <w:rPr>
                <w:rFonts w:eastAsia="Noto Serif CJK SC" w:cs="Lohit Devanagari" w:ascii="Poppins;sans-serif" w:hAnsi="Poppins;sans-serif"/>
                <w:sz w:val="26"/>
                <w:szCs w:val="26"/>
              </w:rPr>
              <w:t xml:space="preserve">2. </w:t>
            </w:r>
            <w:r>
              <w:rPr>
                <w:rFonts w:eastAsia="Noto Serif CJK SC" w:cs="Lohit Devanagari" w:ascii="Poppins;sans-serif" w:hAnsi="Poppins;sans-serif"/>
                <w:b w:val="false"/>
                <w:i w:val="false"/>
                <w:caps w:val="false"/>
                <w:smallCaps w:val="false"/>
                <w:color w:val="212529"/>
                <w:spacing w:val="0"/>
                <w:sz w:val="24"/>
                <w:szCs w:val="26"/>
              </w:rPr>
              <w:t>Choudhary, S., Shanu, K., Hegde, A.S., Kesarwani, V., Kumar, R., shankar, R., Devi, S. and Srivatsan, V., 2024. Nutritional quality and microbial diversity of Chhurpe from different milk sources: an ethnic fermented food of high-altitude regions of the Western Himalayas. Discover Food, 4(1), p.10.</w:t>
            </w:r>
          </w:p>
        </w:tc>
      </w:tr>
      <w:tr>
        <w:trPr/>
        <w:tc>
          <w:tcPr>
            <w:tcW w:w="1439" w:type="dxa"/>
            <w:vMerge w:val="restart"/>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t>2023</w:t>
            </w:r>
          </w:p>
        </w:tc>
        <w:tc>
          <w:tcPr>
            <w:tcW w:w="8205" w:type="dxa"/>
            <w:tcBorders/>
          </w:tcPr>
          <w:p>
            <w:pPr>
              <w:pStyle w:val="TextBody"/>
              <w:widowControl w:val="false"/>
              <w:numPr>
                <w:ilvl w:val="0"/>
                <w:numId w:val="1"/>
              </w:numPr>
              <w:tabs>
                <w:tab w:val="clear" w:pos="709"/>
                <w:tab w:val="left" w:pos="0" w:leader="none"/>
              </w:tabs>
              <w:bidi w:val="0"/>
              <w:spacing w:before="0" w:after="0"/>
              <w:ind w:left="0" w:right="0" w:hanging="0"/>
              <w:jc w:val="left"/>
              <w:rPr>
                <w:rFonts w:ascii="Poppins;sans-serif" w:hAnsi="Poppins;sans-serif"/>
                <w:b w:val="false"/>
                <w:b w:val="false"/>
                <w:i w:val="false"/>
                <w:i w:val="false"/>
                <w:caps w:val="false"/>
                <w:smallCaps w:val="false"/>
                <w:color w:val="212529"/>
                <w:spacing w:val="0"/>
                <w:sz w:val="24"/>
              </w:rPr>
            </w:pPr>
            <w:r>
              <w:rPr>
                <w:rFonts w:ascii="Poppins;sans-serif" w:hAnsi="Poppins;sans-serif"/>
                <w:b w:val="false"/>
                <w:i w:val="false"/>
                <w:caps w:val="false"/>
                <w:smallCaps w:val="false"/>
                <w:color w:val="212529"/>
                <w:spacing w:val="0"/>
                <w:sz w:val="24"/>
              </w:rPr>
              <w:t>Gupta, S., Kesarwani, V., Bhati, U., Jyoti and Shankar, R., 2023. Deep co-learning on transcription factors and their binding regions attains impeccable universality in plants. bioRxiv, pp.2023-11.</w:t>
            </w:r>
          </w:p>
        </w:tc>
      </w:tr>
      <w:tr>
        <w:trPr/>
        <w:tc>
          <w:tcPr>
            <w:tcW w:w="1439" w:type="dxa"/>
            <w:vMerge w:val="continue"/>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r>
          </w:p>
        </w:tc>
        <w:tc>
          <w:tcPr>
            <w:tcW w:w="8205" w:type="dxa"/>
            <w:tcBorders/>
          </w:tcPr>
          <w:p>
            <w:pPr>
              <w:pStyle w:val="TextBody"/>
              <w:widowControl w:val="false"/>
              <w:numPr>
                <w:ilvl w:val="0"/>
                <w:numId w:val="1"/>
              </w:numPr>
              <w:tabs>
                <w:tab w:val="clear" w:pos="709"/>
                <w:tab w:val="left" w:pos="0" w:leader="none"/>
              </w:tabs>
              <w:bidi w:val="0"/>
              <w:spacing w:before="0" w:after="0"/>
              <w:ind w:left="0" w:right="0" w:hanging="0"/>
              <w:jc w:val="left"/>
              <w:rPr>
                <w:rFonts w:ascii="Poppins;sans-serif" w:hAnsi="Poppins;sans-serif"/>
                <w:b w:val="false"/>
                <w:b w:val="false"/>
                <w:i w:val="false"/>
                <w:i w:val="false"/>
                <w:caps w:val="false"/>
                <w:smallCaps w:val="false"/>
                <w:color w:val="212529"/>
                <w:spacing w:val="0"/>
                <w:sz w:val="24"/>
              </w:rPr>
            </w:pPr>
            <w:r>
              <w:rPr>
                <w:rFonts w:eastAsia="Noto Serif CJK SC" w:cs="Lohit Devanagari" w:ascii="Poppins;sans-serif" w:hAnsi="Poppins;sans-serif"/>
                <w:b w:val="false"/>
                <w:i w:val="false"/>
                <w:caps w:val="false"/>
                <w:smallCaps w:val="false"/>
                <w:color w:val="212529"/>
                <w:spacing w:val="0"/>
                <w:sz w:val="24"/>
                <w:szCs w:val="36"/>
              </w:rPr>
              <w:t>Jyoti, Ritu, Gupta, S. and Shankar, R., 2023. Comprehensive evaluation of plant transcription factors binding sites discovery tools. bioRxiv, pp.2023-11.</w:t>
            </w:r>
          </w:p>
        </w:tc>
      </w:tr>
      <w:tr>
        <w:trPr/>
        <w:tc>
          <w:tcPr>
            <w:tcW w:w="1439" w:type="dxa"/>
            <w:vMerge w:val="continue"/>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r>
          </w:p>
        </w:tc>
        <w:tc>
          <w:tcPr>
            <w:tcW w:w="8205" w:type="dxa"/>
            <w:tcBorders/>
          </w:tcPr>
          <w:p>
            <w:pPr>
              <w:pStyle w:val="TextBody"/>
              <w:widowControl w:val="false"/>
              <w:numPr>
                <w:ilvl w:val="0"/>
                <w:numId w:val="1"/>
              </w:numPr>
              <w:tabs>
                <w:tab w:val="clear" w:pos="709"/>
                <w:tab w:val="left" w:pos="0" w:leader="none"/>
              </w:tabs>
              <w:bidi w:val="0"/>
              <w:spacing w:before="0" w:after="0"/>
              <w:ind w:left="0" w:right="0" w:hanging="0"/>
              <w:jc w:val="left"/>
              <w:rPr>
                <w:rFonts w:ascii="Poppins;sans-serif" w:hAnsi="Poppins;sans-serif" w:eastAsia="Noto Serif CJK SC" w:cs="Lohit Devanagari"/>
                <w:b w:val="false"/>
                <w:b w:val="false"/>
                <w:i w:val="false"/>
                <w:i w:val="false"/>
                <w:caps w:val="false"/>
                <w:smallCaps w:val="false"/>
                <w:color w:val="212529"/>
                <w:spacing w:val="0"/>
                <w:sz w:val="24"/>
                <w:szCs w:val="36"/>
              </w:rPr>
            </w:pPr>
            <w:r>
              <w:rPr>
                <w:rFonts w:eastAsia="Noto Serif CJK SC" w:cs="Lohit Devanagari" w:ascii="Poppins;sans-serif" w:hAnsi="Poppins;sans-serif"/>
                <w:b w:val="false"/>
                <w:i w:val="false"/>
                <w:caps w:val="false"/>
                <w:smallCaps w:val="false"/>
                <w:color w:val="212529"/>
                <w:spacing w:val="0"/>
                <w:sz w:val="24"/>
                <w:szCs w:val="36"/>
              </w:rPr>
              <w:t>Suresh, P.S., Kesarwani, V., Kumari, S., Shankar, R. and Sharma, U., 2023. Flavonoids from Aerial Parts of Cissampelos pareira L. as Antimalarial Agents: Computational Validation of Ethnopharmacological Relevance. South African Journal of Botany, 163, pp.10-19.</w:t>
            </w:r>
          </w:p>
        </w:tc>
      </w:tr>
      <w:tr>
        <w:trPr/>
        <w:tc>
          <w:tcPr>
            <w:tcW w:w="1439" w:type="dxa"/>
            <w:vMerge w:val="continue"/>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r>
          </w:p>
        </w:tc>
        <w:tc>
          <w:tcPr>
            <w:tcW w:w="8205" w:type="dxa"/>
            <w:tcBorders/>
          </w:tcPr>
          <w:p>
            <w:pPr>
              <w:pStyle w:val="TextBody"/>
              <w:widowControl w:val="false"/>
              <w:numPr>
                <w:ilvl w:val="0"/>
                <w:numId w:val="1"/>
              </w:numPr>
              <w:tabs>
                <w:tab w:val="clear" w:pos="709"/>
                <w:tab w:val="left" w:pos="0" w:leader="none"/>
              </w:tabs>
              <w:bidi w:val="0"/>
              <w:spacing w:before="0" w:after="0"/>
              <w:ind w:left="0" w:right="0" w:hanging="0"/>
              <w:jc w:val="left"/>
              <w:rPr>
                <w:rFonts w:ascii="Poppins;sans-serif" w:hAnsi="Poppins;sans-serif" w:eastAsia="Noto Serif CJK SC" w:cs="Lohit Devanagari"/>
                <w:b w:val="false"/>
                <w:b w:val="false"/>
                <w:i w:val="false"/>
                <w:i w:val="false"/>
                <w:caps w:val="false"/>
                <w:smallCaps w:val="false"/>
                <w:color w:val="212529"/>
                <w:spacing w:val="0"/>
                <w:sz w:val="24"/>
                <w:szCs w:val="36"/>
              </w:rPr>
            </w:pPr>
            <w:r>
              <w:rPr>
                <w:rFonts w:eastAsia="Noto Serif CJK SC" w:cs="Lohit Devanagari" w:ascii="Poppins;sans-serif" w:hAnsi="Poppins;sans-serif"/>
                <w:b w:val="false"/>
                <w:i w:val="false"/>
                <w:caps w:val="false"/>
                <w:smallCaps w:val="false"/>
                <w:color w:val="212529"/>
                <w:spacing w:val="0"/>
                <w:sz w:val="24"/>
                <w:szCs w:val="36"/>
              </w:rPr>
              <w:t>Gupta, S. and Shankar, R., 2023. miWords: transformer-based composite deep learning for highly accurate discovery of pre-miRNA regions across plant genomes. Briefings in Bioinformatics, 24(2), p.bbad088.</w:t>
            </w:r>
          </w:p>
        </w:tc>
      </w:tr>
      <w:tr>
        <w:trPr/>
        <w:tc>
          <w:tcPr>
            <w:tcW w:w="1439" w:type="dxa"/>
            <w:vMerge w:val="continue"/>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r>
          </w:p>
        </w:tc>
        <w:tc>
          <w:tcPr>
            <w:tcW w:w="8205" w:type="dxa"/>
            <w:tcBorders/>
          </w:tcPr>
          <w:p>
            <w:pPr>
              <w:pStyle w:val="TextBody"/>
              <w:widowControl w:val="false"/>
              <w:numPr>
                <w:ilvl w:val="0"/>
                <w:numId w:val="1"/>
              </w:numPr>
              <w:tabs>
                <w:tab w:val="clear" w:pos="709"/>
                <w:tab w:val="left" w:pos="0" w:leader="none"/>
              </w:tabs>
              <w:bidi w:val="0"/>
              <w:spacing w:before="0" w:after="0"/>
              <w:ind w:left="0" w:right="0" w:hanging="0"/>
              <w:jc w:val="left"/>
              <w:rPr>
                <w:rFonts w:ascii="Poppins;sans-serif" w:hAnsi="Poppins;sans-serif" w:eastAsia="Noto Serif CJK SC" w:cs="Lohit Devanagari"/>
                <w:b w:val="false"/>
                <w:b w:val="false"/>
                <w:i w:val="false"/>
                <w:i w:val="false"/>
                <w:caps w:val="false"/>
                <w:smallCaps w:val="false"/>
                <w:color w:val="212529"/>
                <w:spacing w:val="0"/>
                <w:sz w:val="24"/>
                <w:szCs w:val="36"/>
              </w:rPr>
            </w:pPr>
            <w:r>
              <w:rPr>
                <w:rFonts w:eastAsia="Noto Serif CJK SC" w:cs="Lohit Devanagari" w:ascii="Poppins;sans-serif" w:hAnsi="Poppins;sans-serif"/>
                <w:b w:val="false"/>
                <w:i w:val="false"/>
                <w:caps w:val="false"/>
                <w:smallCaps w:val="false"/>
                <w:color w:val="212529"/>
                <w:spacing w:val="0"/>
                <w:sz w:val="24"/>
                <w:szCs w:val="36"/>
              </w:rPr>
              <w:t>Suresh, P.S., Kesarwani, V., Kumari, S., Shankar, R. and Sharma, U., 2023. Bisbenzylisoquinolines from Cissampelos pareira L. as antimalarial agents: Molecular docking, pharmacokinetics analysis, and molecular dynamic simulation studies. Computational Biology and Chemistry, 104, p.107826.</w:t>
            </w:r>
          </w:p>
        </w:tc>
      </w:tr>
      <w:tr>
        <w:trPr/>
        <w:tc>
          <w:tcPr>
            <w:tcW w:w="1439" w:type="dxa"/>
            <w:vMerge w:val="restart"/>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t>2022</w:t>
            </w:r>
          </w:p>
        </w:tc>
        <w:tc>
          <w:tcPr>
            <w:tcW w:w="8205" w:type="dxa"/>
            <w:tcBorders/>
          </w:tcPr>
          <w:p>
            <w:pPr>
              <w:pStyle w:val="TextBody"/>
              <w:widowControl w:val="false"/>
              <w:numPr>
                <w:ilvl w:val="0"/>
                <w:numId w:val="2"/>
              </w:numPr>
              <w:tabs>
                <w:tab w:val="clear" w:pos="709"/>
                <w:tab w:val="left" w:pos="0" w:leader="none"/>
              </w:tabs>
              <w:bidi w:val="0"/>
              <w:spacing w:before="0" w:after="0"/>
              <w:ind w:left="0" w:right="0" w:hanging="0"/>
              <w:jc w:val="left"/>
              <w:rPr>
                <w:rFonts w:ascii="Poppins;sans-serif" w:hAnsi="Poppins;sans-serif"/>
                <w:b w:val="false"/>
                <w:b w:val="false"/>
                <w:i w:val="false"/>
                <w:i w:val="false"/>
                <w:caps w:val="false"/>
                <w:smallCaps w:val="false"/>
                <w:color w:val="212529"/>
                <w:spacing w:val="0"/>
                <w:sz w:val="24"/>
              </w:rPr>
            </w:pPr>
            <w:r>
              <w:rPr>
                <w:rFonts w:ascii="Poppins;sans-serif" w:hAnsi="Poppins;sans-serif"/>
                <w:b w:val="false"/>
                <w:i w:val="false"/>
                <w:caps w:val="false"/>
                <w:smallCaps w:val="false"/>
                <w:color w:val="212529"/>
                <w:spacing w:val="0"/>
                <w:sz w:val="24"/>
              </w:rPr>
              <w:t>Bhattacharyya, P., Sharma, T., Yadav, A., Lalthafamkimi, L., Swarnkar, M.K., Joshi, R., Shankar, R. and Kumar, S., 2022. De novo transcriptome based insights into secondary metabolite biosynthesis in Malaxis acuminata (Jeevak)–A therapeutically important orchid. Frontiers in Plant Science, 13, p.954467.</w:t>
            </w:r>
          </w:p>
        </w:tc>
      </w:tr>
      <w:tr>
        <w:trPr/>
        <w:tc>
          <w:tcPr>
            <w:tcW w:w="1439" w:type="dxa"/>
            <w:vMerge w:val="continue"/>
            <w:tcBorders/>
          </w:tcPr>
          <w:p>
            <w:pPr>
              <w:pStyle w:val="TableContents"/>
              <w:widowControl w:val="false"/>
              <w:bidi w:val="0"/>
              <w:jc w:val="left"/>
              <w:rPr/>
            </w:pPr>
            <w:r>
              <w:rPr/>
            </w:r>
          </w:p>
        </w:tc>
        <w:tc>
          <w:tcPr>
            <w:tcW w:w="8205" w:type="dxa"/>
            <w:tcBorders/>
          </w:tcPr>
          <w:p>
            <w:pPr>
              <w:pStyle w:val="TextBody"/>
              <w:widowControl w:val="false"/>
              <w:numPr>
                <w:ilvl w:val="0"/>
                <w:numId w:val="2"/>
              </w:numPr>
              <w:tabs>
                <w:tab w:val="clear" w:pos="709"/>
                <w:tab w:val="left" w:pos="0" w:leader="none"/>
              </w:tabs>
              <w:bidi w:val="0"/>
              <w:spacing w:before="0" w:after="0"/>
              <w:ind w:left="0" w:right="0" w:hanging="0"/>
              <w:jc w:val="left"/>
              <w:rPr>
                <w:rFonts w:ascii="Poppins;sans-serif" w:hAnsi="Poppins;sans-serif" w:eastAsia="Noto Serif CJK SC" w:cs="Lohit Devanagari"/>
                <w:b w:val="false"/>
                <w:b w:val="false"/>
                <w:i w:val="false"/>
                <w:i w:val="false"/>
                <w:caps w:val="false"/>
                <w:smallCaps w:val="false"/>
                <w:color w:val="212529"/>
                <w:spacing w:val="0"/>
                <w:sz w:val="24"/>
                <w:szCs w:val="36"/>
              </w:rPr>
            </w:pPr>
            <w:r>
              <w:rPr>
                <w:rFonts w:eastAsia="Noto Serif CJK SC" w:cs="Lohit Devanagari" w:ascii="Poppins;sans-serif" w:hAnsi="Poppins;sans-serif"/>
                <w:b w:val="false"/>
                <w:i w:val="false"/>
                <w:caps w:val="false"/>
                <w:smallCaps w:val="false"/>
                <w:color w:val="212529"/>
                <w:spacing w:val="0"/>
                <w:sz w:val="24"/>
                <w:szCs w:val="36"/>
              </w:rPr>
              <w:t>Rathore, N., Kumar, P., Mehta, N., Swarnkar, M.K., Shankar, R. and Chawla, A., 2022. Time-series RNA-Seq transcriptome profiling reveals novel insights about cold acclimation and de-acclimation processes in an evergreen shrub of high altitude. Scientific Reports, 12(1), p.15553.</w:t>
            </w:r>
          </w:p>
        </w:tc>
      </w:tr>
      <w:tr>
        <w:trPr/>
        <w:tc>
          <w:tcPr>
            <w:tcW w:w="1439" w:type="dxa"/>
            <w:vMerge w:val="continue"/>
            <w:tcBorders/>
          </w:tcPr>
          <w:p>
            <w:pPr>
              <w:pStyle w:val="TableContents"/>
              <w:widowControl w:val="false"/>
              <w:bidi w:val="0"/>
              <w:jc w:val="left"/>
              <w:rPr/>
            </w:pPr>
            <w:r>
              <w:rPr/>
            </w:r>
          </w:p>
        </w:tc>
        <w:tc>
          <w:tcPr>
            <w:tcW w:w="8205" w:type="dxa"/>
            <w:tcBorders/>
          </w:tcPr>
          <w:p>
            <w:pPr>
              <w:pStyle w:val="TextBody"/>
              <w:widowControl w:val="false"/>
              <w:numPr>
                <w:ilvl w:val="0"/>
                <w:numId w:val="2"/>
              </w:numPr>
              <w:tabs>
                <w:tab w:val="clear" w:pos="709"/>
                <w:tab w:val="left" w:pos="0" w:leader="none"/>
              </w:tabs>
              <w:bidi w:val="0"/>
              <w:spacing w:before="0" w:after="0"/>
              <w:ind w:left="0" w:right="0" w:hanging="0"/>
              <w:jc w:val="left"/>
              <w:rPr>
                <w:rFonts w:ascii="Poppins;sans-serif" w:hAnsi="Poppins;sans-serif" w:eastAsia="Noto Serif CJK SC" w:cs="Lohit Devanagari"/>
                <w:b w:val="false"/>
                <w:b w:val="false"/>
                <w:i w:val="false"/>
                <w:i w:val="false"/>
                <w:caps w:val="false"/>
                <w:smallCaps w:val="false"/>
                <w:color w:val="212529"/>
                <w:spacing w:val="0"/>
                <w:sz w:val="24"/>
                <w:szCs w:val="36"/>
              </w:rPr>
            </w:pPr>
            <w:r>
              <w:rPr>
                <w:rFonts w:eastAsia="Noto Serif CJK SC" w:cs="Lohit Devanagari" w:ascii="Poppins;sans-serif" w:hAnsi="Poppins;sans-serif"/>
                <w:b w:val="false"/>
                <w:i w:val="false"/>
                <w:caps w:val="false"/>
                <w:smallCaps w:val="false"/>
                <w:color w:val="212529"/>
                <w:spacing w:val="0"/>
                <w:sz w:val="24"/>
                <w:szCs w:val="36"/>
              </w:rPr>
              <w:t>Gupta, S., Sharma, N.K. and Shankar, R., 2022. DeepPlnc: Bi-modal deep learning for highly accurate plant lncRNA discovery. Genomics, 114(5), p.110443.</w:t>
            </w:r>
          </w:p>
        </w:tc>
      </w:tr>
      <w:tr>
        <w:trPr/>
        <w:tc>
          <w:tcPr>
            <w:tcW w:w="1439" w:type="dxa"/>
            <w:vMerge w:val="restart"/>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t>2021</w:t>
            </w:r>
          </w:p>
        </w:tc>
        <w:tc>
          <w:tcPr>
            <w:tcW w:w="8205" w:type="dxa"/>
            <w:tcBorders/>
          </w:tcPr>
          <w:p>
            <w:pPr>
              <w:pStyle w:val="TextBody"/>
              <w:widowControl w:val="false"/>
              <w:numPr>
                <w:ilvl w:val="0"/>
                <w:numId w:val="3"/>
              </w:numPr>
              <w:tabs>
                <w:tab w:val="clear" w:pos="709"/>
                <w:tab w:val="left" w:pos="0" w:leader="none"/>
              </w:tabs>
              <w:bidi w:val="0"/>
              <w:spacing w:before="0" w:after="0"/>
              <w:ind w:left="0" w:right="0" w:hanging="0"/>
              <w:jc w:val="left"/>
              <w:rPr>
                <w:rFonts w:ascii="Poppins;sans-serif" w:hAnsi="Poppins;sans-serif"/>
                <w:b w:val="false"/>
                <w:b w:val="false"/>
                <w:i w:val="false"/>
                <w:i w:val="false"/>
                <w:caps w:val="false"/>
                <w:smallCaps w:val="false"/>
                <w:color w:val="212529"/>
                <w:spacing w:val="0"/>
                <w:sz w:val="24"/>
              </w:rPr>
            </w:pPr>
            <w:r>
              <w:rPr>
                <w:rFonts w:ascii="Poppins;sans-serif" w:hAnsi="Poppins;sans-serif"/>
                <w:b w:val="false"/>
                <w:i w:val="false"/>
                <w:caps w:val="false"/>
                <w:smallCaps w:val="false"/>
                <w:color w:val="212529"/>
                <w:spacing w:val="0"/>
                <w:sz w:val="24"/>
              </w:rPr>
              <w:t>Kumari, M., Pradhan, U.K., Joshi, R., Punia, A., Shankar, R. and Kumar, R., 2021. In-depth assembly of organ and development dissected Picrorhiza kurroa proteome map using mass spectrometry. BMC Plant Biology, 21(1), pp.1-18.</w:t>
            </w:r>
          </w:p>
        </w:tc>
      </w:tr>
      <w:tr>
        <w:trPr/>
        <w:tc>
          <w:tcPr>
            <w:tcW w:w="1439" w:type="dxa"/>
            <w:vMerge w:val="continue"/>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r>
          </w:p>
        </w:tc>
        <w:tc>
          <w:tcPr>
            <w:tcW w:w="8205" w:type="dxa"/>
            <w:tcBorders/>
          </w:tcPr>
          <w:p>
            <w:pPr>
              <w:pStyle w:val="TextBody"/>
              <w:widowControl w:val="false"/>
              <w:numPr>
                <w:ilvl w:val="0"/>
                <w:numId w:val="3"/>
              </w:numPr>
              <w:tabs>
                <w:tab w:val="clear" w:pos="709"/>
                <w:tab w:val="left" w:pos="0" w:leader="none"/>
              </w:tabs>
              <w:bidi w:val="0"/>
              <w:spacing w:before="0" w:after="0"/>
              <w:ind w:left="0" w:right="0" w:hanging="0"/>
              <w:jc w:val="left"/>
              <w:rPr>
                <w:rFonts w:ascii="Poppins;sans-serif" w:hAnsi="Poppins;sans-serif" w:eastAsia="Noto Serif CJK SC" w:cs="Lohit Devanagari"/>
                <w:b w:val="false"/>
                <w:b w:val="false"/>
                <w:i w:val="false"/>
                <w:i w:val="false"/>
                <w:caps w:val="false"/>
                <w:smallCaps w:val="false"/>
                <w:color w:val="212529"/>
                <w:spacing w:val="0"/>
                <w:sz w:val="24"/>
                <w:szCs w:val="36"/>
              </w:rPr>
            </w:pPr>
            <w:r>
              <w:rPr>
                <w:rFonts w:eastAsia="Noto Serif CJK SC" w:cs="Lohit Devanagari" w:ascii="Poppins;sans-serif" w:hAnsi="Poppins;sans-serif"/>
                <w:b w:val="false"/>
                <w:i w:val="false"/>
                <w:caps w:val="false"/>
                <w:smallCaps w:val="false"/>
                <w:color w:val="212529"/>
                <w:spacing w:val="0"/>
                <w:sz w:val="24"/>
                <w:szCs w:val="36"/>
              </w:rPr>
              <w:t>Sharma, N.K., Gupta, S., Kumar, A., Kumar, P., Pradhan, U.K. and Shankar, R., 2021. RBPSpot: Learning on appropriate contextual information for RBP binding sites discovery. IScience, 24(12).</w:t>
            </w:r>
          </w:p>
        </w:tc>
      </w:tr>
      <w:tr>
        <w:trPr/>
        <w:tc>
          <w:tcPr>
            <w:tcW w:w="1439" w:type="dxa"/>
            <w:vMerge w:val="continue"/>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r>
          </w:p>
        </w:tc>
        <w:tc>
          <w:tcPr>
            <w:tcW w:w="8205" w:type="dxa"/>
            <w:tcBorders/>
          </w:tcPr>
          <w:p>
            <w:pPr>
              <w:pStyle w:val="TextBody"/>
              <w:widowControl w:val="false"/>
              <w:numPr>
                <w:ilvl w:val="0"/>
                <w:numId w:val="3"/>
              </w:numPr>
              <w:tabs>
                <w:tab w:val="clear" w:pos="709"/>
                <w:tab w:val="left" w:pos="0" w:leader="none"/>
              </w:tabs>
              <w:bidi w:val="0"/>
              <w:spacing w:before="0" w:after="0"/>
              <w:ind w:left="0" w:right="0" w:hanging="0"/>
              <w:jc w:val="left"/>
              <w:rPr>
                <w:rFonts w:ascii="Poppins;sans-serif" w:hAnsi="Poppins;sans-serif" w:eastAsia="Noto Serif CJK SC" w:cs="Lohit Devanagari"/>
                <w:b w:val="false"/>
                <w:b w:val="false"/>
                <w:i w:val="false"/>
                <w:i w:val="false"/>
                <w:caps w:val="false"/>
                <w:smallCaps w:val="false"/>
                <w:color w:val="212529"/>
                <w:spacing w:val="0"/>
                <w:sz w:val="24"/>
                <w:szCs w:val="36"/>
              </w:rPr>
            </w:pPr>
            <w:r>
              <w:rPr>
                <w:rFonts w:eastAsia="Noto Serif CJK SC" w:cs="Lohit Devanagari" w:ascii="Poppins;sans-serif" w:hAnsi="Poppins;sans-serif"/>
                <w:b w:val="false"/>
                <w:i w:val="false"/>
                <w:caps w:val="false"/>
                <w:smallCaps w:val="false"/>
                <w:color w:val="212529"/>
                <w:spacing w:val="0"/>
                <w:sz w:val="24"/>
                <w:szCs w:val="36"/>
              </w:rPr>
              <w:t>Pradhan, U.K., Sharma, N.K., Kumar, P., Kumar, A., Gupta, S. and Shankar, R., 2021. miRbiom: Machine-learning on Bayesian causal nets of RBP-miRNA interactions successfully predicts miRNA profiles. Plos one, 16(10), p.e0258550.</w:t>
            </w:r>
          </w:p>
        </w:tc>
      </w:tr>
      <w:tr>
        <w:trPr/>
        <w:tc>
          <w:tcPr>
            <w:tcW w:w="1439" w:type="dxa"/>
            <w:vMerge w:val="continue"/>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r>
          </w:p>
        </w:tc>
        <w:tc>
          <w:tcPr>
            <w:tcW w:w="8205" w:type="dxa"/>
            <w:tcBorders/>
          </w:tcPr>
          <w:p>
            <w:pPr>
              <w:pStyle w:val="TextBody"/>
              <w:widowControl w:val="false"/>
              <w:numPr>
                <w:ilvl w:val="0"/>
                <w:numId w:val="3"/>
              </w:numPr>
              <w:tabs>
                <w:tab w:val="clear" w:pos="709"/>
                <w:tab w:val="left" w:pos="0" w:leader="none"/>
              </w:tabs>
              <w:bidi w:val="0"/>
              <w:spacing w:before="0" w:after="0"/>
              <w:ind w:left="0" w:right="0" w:hanging="0"/>
              <w:jc w:val="left"/>
              <w:rPr>
                <w:rFonts w:ascii="Poppins;sans-serif" w:hAnsi="Poppins;sans-serif" w:eastAsia="Noto Serif CJK SC" w:cs="Lohit Devanagari"/>
                <w:b w:val="false"/>
                <w:b w:val="false"/>
                <w:i w:val="false"/>
                <w:i w:val="false"/>
                <w:caps w:val="false"/>
                <w:smallCaps w:val="false"/>
                <w:color w:val="212529"/>
                <w:spacing w:val="0"/>
                <w:sz w:val="24"/>
                <w:szCs w:val="36"/>
              </w:rPr>
            </w:pPr>
            <w:r>
              <w:rPr>
                <w:rFonts w:eastAsia="Noto Serif CJK SC" w:cs="Lohit Devanagari" w:ascii="Poppins;sans-serif" w:hAnsi="Poppins;sans-serif"/>
                <w:b w:val="false"/>
                <w:i w:val="false"/>
                <w:caps w:val="false"/>
                <w:smallCaps w:val="false"/>
                <w:color w:val="212529"/>
                <w:spacing w:val="0"/>
                <w:sz w:val="24"/>
                <w:szCs w:val="36"/>
              </w:rPr>
              <w:t>Sharma, T., Sharma, N.K., Kumar, P., Panzade, G., Rana, T., Swarnkar, M.K., Singh, A.K., Singh, D., Shankar, R. and Kumar, S., 2021. The first draft genome of Picrorhiza kurrooa, an endangered medicinal herb from Himalayas. Scientific Reports, 11(1), p.14944.</w:t>
            </w:r>
          </w:p>
        </w:tc>
      </w:tr>
      <w:tr>
        <w:trPr/>
        <w:tc>
          <w:tcPr>
            <w:tcW w:w="1439" w:type="dxa"/>
            <w:vMerge w:val="continue"/>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r>
          </w:p>
        </w:tc>
        <w:tc>
          <w:tcPr>
            <w:tcW w:w="8205" w:type="dxa"/>
            <w:tcBorders/>
          </w:tcPr>
          <w:p>
            <w:pPr>
              <w:pStyle w:val="TextBody"/>
              <w:widowControl w:val="false"/>
              <w:numPr>
                <w:ilvl w:val="0"/>
                <w:numId w:val="3"/>
              </w:numPr>
              <w:tabs>
                <w:tab w:val="clear" w:pos="709"/>
                <w:tab w:val="left" w:pos="0" w:leader="none"/>
              </w:tabs>
              <w:bidi w:val="0"/>
              <w:spacing w:before="0" w:after="0"/>
              <w:ind w:left="0" w:right="0" w:hanging="0"/>
              <w:jc w:val="left"/>
              <w:rPr>
                <w:rFonts w:ascii="Poppins;sans-serif" w:hAnsi="Poppins;sans-serif" w:eastAsia="Noto Serif CJK SC" w:cs="Lohit Devanagari"/>
                <w:b w:val="false"/>
                <w:b w:val="false"/>
                <w:i w:val="false"/>
                <w:i w:val="false"/>
                <w:caps w:val="false"/>
                <w:smallCaps w:val="false"/>
                <w:color w:val="212529"/>
                <w:spacing w:val="0"/>
                <w:sz w:val="24"/>
                <w:szCs w:val="36"/>
              </w:rPr>
            </w:pPr>
            <w:r>
              <w:rPr>
                <w:rFonts w:eastAsia="Noto Serif CJK SC" w:cs="Lohit Devanagari" w:ascii="Poppins;sans-serif" w:hAnsi="Poppins;sans-serif"/>
                <w:b w:val="false"/>
                <w:i w:val="false"/>
                <w:caps w:val="false"/>
                <w:smallCaps w:val="false"/>
                <w:color w:val="212529"/>
                <w:spacing w:val="0"/>
                <w:sz w:val="24"/>
                <w:szCs w:val="36"/>
              </w:rPr>
              <w:t>Gupta, S.S., Kumar, A., Shankar, R. and Sharma, U., 2021. In silico approach for identifying natural lead molecules against SARS-COV-2. Journal of molecular graphics and modelling, 106, p.107916.</w:t>
            </w:r>
          </w:p>
        </w:tc>
      </w:tr>
      <w:tr>
        <w:trPr/>
        <w:tc>
          <w:tcPr>
            <w:tcW w:w="1439" w:type="dxa"/>
            <w:vMerge w:val="restart"/>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t>2020</w:t>
            </w:r>
          </w:p>
        </w:tc>
        <w:tc>
          <w:tcPr>
            <w:tcW w:w="8205" w:type="dxa"/>
            <w:tcBorders/>
          </w:tcPr>
          <w:p>
            <w:pPr>
              <w:pStyle w:val="TextBody"/>
              <w:widowControl w:val="false"/>
              <w:numPr>
                <w:ilvl w:val="0"/>
                <w:numId w:val="4"/>
              </w:numPr>
              <w:tabs>
                <w:tab w:val="clear" w:pos="709"/>
                <w:tab w:val="left" w:pos="0" w:leader="none"/>
              </w:tabs>
              <w:bidi w:val="0"/>
              <w:spacing w:before="0" w:after="0"/>
              <w:ind w:left="0" w:right="0" w:hanging="0"/>
              <w:jc w:val="left"/>
              <w:rPr>
                <w:rFonts w:ascii="Poppins;sans-serif" w:hAnsi="Poppins;sans-serif"/>
                <w:b w:val="false"/>
                <w:b w:val="false"/>
                <w:i w:val="false"/>
                <w:i w:val="false"/>
                <w:caps w:val="false"/>
                <w:smallCaps w:val="false"/>
                <w:color w:val="212529"/>
                <w:spacing w:val="0"/>
                <w:sz w:val="24"/>
              </w:rPr>
            </w:pPr>
            <w:r>
              <w:rPr>
                <w:rFonts w:ascii="Poppins;sans-serif" w:hAnsi="Poppins;sans-serif"/>
                <w:b w:val="false"/>
                <w:i w:val="false"/>
                <w:caps w:val="false"/>
                <w:smallCaps w:val="false"/>
                <w:color w:val="212529"/>
                <w:spacing w:val="0"/>
                <w:sz w:val="24"/>
              </w:rPr>
              <w:t>Mala, D., Awasthi, S., Sharma, N.K., Swarnkar, M.K., Shankar, R. and Kumar, S., 2021. Comparative transcriptome analysis of Rheum australe, an endangered medicinal herb, growing in its natural habitat and those grown in controlled growth chambers. Scientific Reports, 11(1), p.3702.</w:t>
            </w:r>
          </w:p>
        </w:tc>
      </w:tr>
      <w:tr>
        <w:trPr/>
        <w:tc>
          <w:tcPr>
            <w:tcW w:w="1439" w:type="dxa"/>
            <w:vMerge w:val="continue"/>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r>
          </w:p>
        </w:tc>
        <w:tc>
          <w:tcPr>
            <w:tcW w:w="8205" w:type="dxa"/>
            <w:tcBorders/>
          </w:tcPr>
          <w:p>
            <w:pPr>
              <w:pStyle w:val="TextBody"/>
              <w:widowControl w:val="false"/>
              <w:numPr>
                <w:ilvl w:val="0"/>
                <w:numId w:val="4"/>
              </w:numPr>
              <w:tabs>
                <w:tab w:val="clear" w:pos="709"/>
                <w:tab w:val="left" w:pos="0" w:leader="none"/>
              </w:tabs>
              <w:bidi w:val="0"/>
              <w:spacing w:before="0" w:after="0"/>
              <w:ind w:left="0" w:right="0" w:hanging="0"/>
              <w:jc w:val="left"/>
              <w:rPr>
                <w:rFonts w:ascii="Poppins;sans-serif" w:hAnsi="Poppins;sans-serif" w:eastAsia="Noto Serif CJK SC" w:cs="Lohit Devanagari"/>
                <w:b w:val="false"/>
                <w:b w:val="false"/>
                <w:i w:val="false"/>
                <w:i w:val="false"/>
                <w:caps w:val="false"/>
                <w:smallCaps w:val="false"/>
                <w:color w:val="212529"/>
                <w:spacing w:val="0"/>
                <w:sz w:val="24"/>
                <w:szCs w:val="36"/>
              </w:rPr>
            </w:pPr>
            <w:r>
              <w:rPr>
                <w:rFonts w:eastAsia="Noto Serif CJK SC" w:cs="Lohit Devanagari" w:ascii="Poppins;sans-serif" w:hAnsi="Poppins;sans-serif"/>
                <w:b w:val="false"/>
                <w:i w:val="false"/>
                <w:caps w:val="false"/>
                <w:smallCaps w:val="false"/>
                <w:color w:val="212529"/>
                <w:spacing w:val="0"/>
                <w:sz w:val="24"/>
                <w:szCs w:val="36"/>
              </w:rPr>
              <w:t>Shankar, R., 2020. The dynamic aspects of RNA regulation. In Rna-Based Regulation in Human Health and Disease (pp. 85-115). Academic Press.</w:t>
            </w:r>
          </w:p>
        </w:tc>
      </w:tr>
      <w:tr>
        <w:trPr/>
        <w:tc>
          <w:tcPr>
            <w:tcW w:w="1439" w:type="dxa"/>
            <w:vMerge w:val="restart"/>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t>2019</w:t>
            </w:r>
          </w:p>
        </w:tc>
        <w:tc>
          <w:tcPr>
            <w:tcW w:w="8205" w:type="dxa"/>
            <w:tcBorders/>
          </w:tcPr>
          <w:p>
            <w:pPr>
              <w:pStyle w:val="TextBody"/>
              <w:widowControl w:val="false"/>
              <w:numPr>
                <w:ilvl w:val="0"/>
                <w:numId w:val="5"/>
              </w:numPr>
              <w:tabs>
                <w:tab w:val="clear" w:pos="709"/>
                <w:tab w:val="left" w:pos="0" w:leader="none"/>
              </w:tabs>
              <w:bidi w:val="0"/>
              <w:spacing w:before="0" w:after="0"/>
              <w:ind w:left="0" w:right="0" w:hanging="0"/>
              <w:jc w:val="left"/>
              <w:rPr>
                <w:rFonts w:ascii="Poppins;sans-serif" w:hAnsi="Poppins;sans-serif"/>
                <w:b w:val="false"/>
                <w:b w:val="false"/>
                <w:i w:val="false"/>
                <w:i w:val="false"/>
                <w:caps w:val="false"/>
                <w:smallCaps w:val="false"/>
                <w:color w:val="212529"/>
                <w:spacing w:val="0"/>
                <w:sz w:val="24"/>
              </w:rPr>
            </w:pPr>
            <w:r>
              <w:rPr>
                <w:rFonts w:ascii="Poppins;sans-serif" w:hAnsi="Poppins;sans-serif"/>
                <w:b w:val="false"/>
                <w:i w:val="false"/>
                <w:caps w:val="false"/>
                <w:smallCaps w:val="false"/>
                <w:color w:val="212529"/>
                <w:spacing w:val="0"/>
                <w:sz w:val="24"/>
              </w:rPr>
              <w:t>Kumari, M., Thakur, S., Kumar, A., Joshi, R., Kumar, P., Shankar, R. and Kumar, R., 2020. Regulation of color transition in purple tea (Camellia sinensis). Planta, 251, pp.1-18.</w:t>
            </w:r>
          </w:p>
        </w:tc>
      </w:tr>
      <w:tr>
        <w:trPr/>
        <w:tc>
          <w:tcPr>
            <w:tcW w:w="1439" w:type="dxa"/>
            <w:vMerge w:val="continue"/>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r>
          </w:p>
        </w:tc>
        <w:tc>
          <w:tcPr>
            <w:tcW w:w="8205" w:type="dxa"/>
            <w:tcBorders/>
          </w:tcPr>
          <w:p>
            <w:pPr>
              <w:pStyle w:val="TextBody"/>
              <w:widowControl w:val="false"/>
              <w:numPr>
                <w:ilvl w:val="0"/>
                <w:numId w:val="5"/>
              </w:numPr>
              <w:tabs>
                <w:tab w:val="clear" w:pos="709"/>
                <w:tab w:val="left" w:pos="0" w:leader="none"/>
              </w:tabs>
              <w:bidi w:val="0"/>
              <w:spacing w:before="0" w:after="0"/>
              <w:ind w:left="0" w:right="0" w:hanging="0"/>
              <w:jc w:val="left"/>
              <w:rPr>
                <w:rFonts w:ascii="Poppins;sans-serif" w:hAnsi="Poppins;sans-serif" w:eastAsia="Noto Serif CJK SC" w:cs="Lohit Devanagari"/>
                <w:b w:val="false"/>
                <w:b w:val="false"/>
                <w:i w:val="false"/>
                <w:i w:val="false"/>
                <w:caps w:val="false"/>
                <w:smallCaps w:val="false"/>
                <w:color w:val="212529"/>
                <w:spacing w:val="0"/>
                <w:sz w:val="24"/>
                <w:szCs w:val="36"/>
              </w:rPr>
            </w:pPr>
            <w:r>
              <w:rPr>
                <w:rFonts w:eastAsia="Noto Serif CJK SC" w:cs="Lohit Devanagari" w:ascii="Poppins;sans-serif" w:hAnsi="Poppins;sans-serif"/>
                <w:b w:val="false"/>
                <w:i w:val="false"/>
                <w:caps w:val="false"/>
                <w:smallCaps w:val="false"/>
                <w:color w:val="212529"/>
                <w:spacing w:val="0"/>
                <w:sz w:val="24"/>
                <w:szCs w:val="36"/>
              </w:rPr>
              <w:t>Panzade, G., Gangwar, I., Awasthi, S., Sharma, N. and Shankar, R., 2019. Plant Regulomics Portal (PRP): a comprehensive integrated regulatory information and analysis portal for plant genomes. Database, 2019, p.baz130.</w:t>
            </w:r>
          </w:p>
        </w:tc>
      </w:tr>
      <w:tr>
        <w:trPr/>
        <w:tc>
          <w:tcPr>
            <w:tcW w:w="1439" w:type="dxa"/>
            <w:vMerge w:val="continue"/>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r>
          </w:p>
        </w:tc>
        <w:tc>
          <w:tcPr>
            <w:tcW w:w="8205" w:type="dxa"/>
            <w:tcBorders/>
          </w:tcPr>
          <w:p>
            <w:pPr>
              <w:pStyle w:val="TextBody"/>
              <w:widowControl w:val="false"/>
              <w:numPr>
                <w:ilvl w:val="0"/>
                <w:numId w:val="5"/>
              </w:numPr>
              <w:tabs>
                <w:tab w:val="clear" w:pos="709"/>
                <w:tab w:val="left" w:pos="0" w:leader="none"/>
              </w:tabs>
              <w:bidi w:val="0"/>
              <w:spacing w:before="0" w:after="0"/>
              <w:ind w:left="0" w:right="0" w:hanging="0"/>
              <w:jc w:val="left"/>
              <w:rPr>
                <w:rFonts w:ascii="Poppins;sans-serif" w:hAnsi="Poppins;sans-serif" w:eastAsia="Noto Serif CJK SC" w:cs="Lohit Devanagari"/>
                <w:b w:val="false"/>
                <w:b w:val="false"/>
                <w:i w:val="false"/>
                <w:i w:val="false"/>
                <w:caps w:val="false"/>
                <w:smallCaps w:val="false"/>
                <w:color w:val="212529"/>
                <w:spacing w:val="0"/>
                <w:sz w:val="24"/>
                <w:szCs w:val="36"/>
              </w:rPr>
            </w:pPr>
            <w:r>
              <w:rPr>
                <w:rFonts w:eastAsia="Noto Serif CJK SC" w:cs="Lohit Devanagari" w:ascii="Poppins;sans-serif" w:hAnsi="Poppins;sans-serif"/>
                <w:b w:val="false"/>
                <w:i w:val="false"/>
                <w:caps w:val="false"/>
                <w:smallCaps w:val="false"/>
                <w:color w:val="212529"/>
                <w:spacing w:val="0"/>
                <w:sz w:val="24"/>
                <w:szCs w:val="36"/>
              </w:rPr>
              <w:t>Dhiman, N., Sharma, N.K., Thapa, P., Sharma, I., Kumar Swarnkar, M., Chawla, A., Shankar, R. and Bhattacharya, A., 2019. De novo transcriptome provides insights into the growth behaviour and resveratrol and trans-stilbenes biosynthesis in Dactylorhiza hatagirea-An endangered alpine terrestrial orchid of western Himalaya. Scientific Reports, 9(1), p.13133.</w:t>
            </w:r>
          </w:p>
        </w:tc>
      </w:tr>
      <w:tr>
        <w:trPr/>
        <w:tc>
          <w:tcPr>
            <w:tcW w:w="1439" w:type="dxa"/>
            <w:vMerge w:val="restart"/>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t>2018</w:t>
            </w:r>
          </w:p>
        </w:tc>
        <w:tc>
          <w:tcPr>
            <w:tcW w:w="8205" w:type="dxa"/>
            <w:tcBorders/>
          </w:tcPr>
          <w:p>
            <w:pPr>
              <w:pStyle w:val="TextBody"/>
              <w:widowControl w:val="false"/>
              <w:numPr>
                <w:ilvl w:val="0"/>
                <w:numId w:val="0"/>
              </w:numPr>
              <w:bidi w:val="0"/>
              <w:spacing w:before="0" w:after="0"/>
              <w:ind w:left="0" w:right="0" w:hanging="0"/>
              <w:jc w:val="left"/>
              <w:rPr>
                <w:rFonts w:ascii="Poppins;sans-serif" w:hAnsi="Poppins;sans-serif"/>
                <w:b w:val="false"/>
                <w:b w:val="false"/>
                <w:i w:val="false"/>
                <w:i w:val="false"/>
                <w:caps w:val="false"/>
                <w:smallCaps w:val="false"/>
                <w:color w:val="212529"/>
                <w:spacing w:val="0"/>
                <w:sz w:val="24"/>
              </w:rPr>
            </w:pPr>
            <w:r>
              <w:rPr>
                <w:rFonts w:ascii="Poppins;sans-serif" w:hAnsi="Poppins;sans-serif"/>
                <w:b w:val="false"/>
                <w:i w:val="false"/>
                <w:caps w:val="false"/>
                <w:smallCaps w:val="false"/>
                <w:color w:val="212529"/>
                <w:spacing w:val="0"/>
                <w:sz w:val="24"/>
              </w:rPr>
              <w:t>1. Rajan, S., Panzade, G., Srivastava, A., Shankar, K., Pandey, R., Kumar, D., Gupta, S., Gupta, A., Varshney, S., Beg, M. and Mishra, R.K., 2018. miR-876-3p regulates glucose homeostasis and insulin sensitivity by targeting adiponectin. Journal of Endocrinology, 239(1), pp.1-17.</w:t>
            </w:r>
          </w:p>
        </w:tc>
      </w:tr>
      <w:tr>
        <w:trPr/>
        <w:tc>
          <w:tcPr>
            <w:tcW w:w="1439" w:type="dxa"/>
            <w:vMerge w:val="continue"/>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r>
          </w:p>
        </w:tc>
        <w:tc>
          <w:tcPr>
            <w:tcW w:w="8205" w:type="dxa"/>
            <w:tcBorders/>
          </w:tcPr>
          <w:p>
            <w:pPr>
              <w:pStyle w:val="TextBody"/>
              <w:widowControl w:val="false"/>
              <w:numPr>
                <w:ilvl w:val="0"/>
                <w:numId w:val="0"/>
              </w:numPr>
              <w:bidi w:val="0"/>
              <w:spacing w:before="0" w:after="0"/>
              <w:ind w:left="0" w:right="0" w:hanging="0"/>
              <w:jc w:val="left"/>
              <w:rPr>
                <w:rFonts w:ascii="Poppins;sans-serif" w:hAnsi="Poppins;sans-serif" w:eastAsia="Noto Serif CJK SC" w:cs="Lohit Devanagari"/>
                <w:b w:val="false"/>
                <w:b w:val="false"/>
                <w:i w:val="false"/>
                <w:i w:val="false"/>
                <w:caps w:val="false"/>
                <w:smallCaps w:val="false"/>
                <w:color w:val="212529"/>
                <w:spacing w:val="0"/>
                <w:sz w:val="24"/>
                <w:szCs w:val="36"/>
              </w:rPr>
            </w:pPr>
            <w:r>
              <w:rPr>
                <w:rFonts w:eastAsia="Noto Serif CJK SC" w:cs="Lohit Devanagari" w:ascii="Poppins;sans-serif" w:hAnsi="Poppins;sans-serif"/>
                <w:b w:val="false"/>
                <w:i w:val="false"/>
                <w:caps w:val="false"/>
                <w:smallCaps w:val="false"/>
                <w:color w:val="212529"/>
                <w:spacing w:val="0"/>
                <w:sz w:val="24"/>
                <w:szCs w:val="36"/>
              </w:rPr>
              <w:t>2. Goel, P., Sharma, N.K., Bhuria, M., Sharma, V., Chauhan, R., Pathania, S., Swarnkar, M.K., Chawla, V., Acharya, V., Shankar, R. and Singh, A.K., 2018. Transcriptome and co-expression network analyses identify key genes regulating nitrogen use efficiency in Brassica juncea L. Scientific Reports, 8(1), p.7451.</w:t>
            </w:r>
          </w:p>
        </w:tc>
      </w:tr>
      <w:tr>
        <w:trPr/>
        <w:tc>
          <w:tcPr>
            <w:tcW w:w="1439" w:type="dxa"/>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t>2017</w:t>
            </w:r>
          </w:p>
        </w:tc>
        <w:tc>
          <w:tcPr>
            <w:tcW w:w="8205" w:type="dxa"/>
            <w:tcBorders/>
          </w:tcPr>
          <w:p>
            <w:pPr>
              <w:pStyle w:val="TextBody"/>
              <w:widowControl w:val="false"/>
              <w:numPr>
                <w:ilvl w:val="0"/>
                <w:numId w:val="6"/>
              </w:numPr>
              <w:tabs>
                <w:tab w:val="clear" w:pos="709"/>
                <w:tab w:val="left" w:pos="0" w:leader="none"/>
              </w:tabs>
              <w:bidi w:val="0"/>
              <w:spacing w:before="0" w:after="0"/>
              <w:ind w:left="0" w:right="0" w:hanging="0"/>
              <w:jc w:val="left"/>
              <w:rPr>
                <w:rFonts w:ascii="Poppins;sans-serif" w:hAnsi="Poppins;sans-serif" w:eastAsia="Noto Serif CJK SC" w:cs="Lohit Devanagari"/>
                <w:b w:val="false"/>
                <w:b w:val="false"/>
                <w:i w:val="false"/>
                <w:i w:val="false"/>
                <w:caps w:val="false"/>
                <w:smallCaps w:val="false"/>
                <w:color w:val="212529"/>
                <w:spacing w:val="0"/>
                <w:sz w:val="24"/>
                <w:szCs w:val="36"/>
              </w:rPr>
            </w:pPr>
            <w:r>
              <w:rPr>
                <w:rFonts w:eastAsia="Noto Serif CJK SC" w:cs="Lohit Devanagari" w:ascii="Poppins;sans-serif" w:hAnsi="Poppins;sans-serif"/>
                <w:b w:val="false"/>
                <w:i w:val="false"/>
                <w:caps w:val="false"/>
                <w:smallCaps w:val="false"/>
                <w:color w:val="212529"/>
                <w:spacing w:val="0"/>
                <w:sz w:val="24"/>
                <w:szCs w:val="36"/>
              </w:rPr>
              <w:t>Gangwar, I., Kumar Sharma, N., Panzade, G., Awasthi, S., Agrawal, A. and Shankar, R., 2017. Detecting the molecular system signatures of idiopathic pulmonary fibrosis through integrated genomic analysis. Scientific reports, 7(1), p.1554.</w:t>
            </w:r>
          </w:p>
        </w:tc>
      </w:tr>
      <w:tr>
        <w:trPr/>
        <w:tc>
          <w:tcPr>
            <w:tcW w:w="1439" w:type="dxa"/>
            <w:vMerge w:val="restart"/>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t>2016</w:t>
            </w:r>
          </w:p>
        </w:tc>
        <w:tc>
          <w:tcPr>
            <w:tcW w:w="8205" w:type="dxa"/>
            <w:tcBorders/>
          </w:tcPr>
          <w:p>
            <w:pPr>
              <w:pStyle w:val="TextBody"/>
              <w:widowControl w:val="false"/>
              <w:numPr>
                <w:ilvl w:val="0"/>
                <w:numId w:val="7"/>
              </w:numPr>
              <w:tabs>
                <w:tab w:val="clear" w:pos="709"/>
                <w:tab w:val="left" w:pos="0" w:leader="none"/>
              </w:tabs>
              <w:bidi w:val="0"/>
              <w:spacing w:before="0" w:after="0"/>
              <w:ind w:left="0" w:right="0" w:hanging="0"/>
              <w:jc w:val="left"/>
              <w:rPr>
                <w:rFonts w:ascii="Poppins;sans-serif" w:hAnsi="Poppins;sans-serif"/>
                <w:b w:val="false"/>
                <w:b w:val="false"/>
                <w:i w:val="false"/>
                <w:i w:val="false"/>
                <w:caps w:val="false"/>
                <w:smallCaps w:val="false"/>
                <w:color w:val="212529"/>
                <w:spacing w:val="0"/>
                <w:sz w:val="24"/>
              </w:rPr>
            </w:pPr>
            <w:r>
              <w:rPr>
                <w:rFonts w:ascii="Poppins;sans-serif" w:hAnsi="Poppins;sans-serif"/>
                <w:b w:val="false"/>
                <w:i w:val="false"/>
                <w:caps w:val="false"/>
                <w:smallCaps w:val="false"/>
                <w:color w:val="212529"/>
                <w:spacing w:val="0"/>
                <w:sz w:val="24"/>
              </w:rPr>
              <w:t>Kumar, A., Chawla, V., Sharma, E., Mahajan, P., Shankar, R. and Yadav, S.K., 2016. Comparative transcriptome analysis of chinary, assamica and cambod tea (Camellia sinensis) types during development and seasonal variation using RNA-seq technology. Scientific reports, 6(1), p.37244.</w:t>
            </w:r>
          </w:p>
        </w:tc>
      </w:tr>
      <w:tr>
        <w:trPr/>
        <w:tc>
          <w:tcPr>
            <w:tcW w:w="1439" w:type="dxa"/>
            <w:vMerge w:val="continue"/>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r>
          </w:p>
        </w:tc>
        <w:tc>
          <w:tcPr>
            <w:tcW w:w="8205" w:type="dxa"/>
            <w:tcBorders/>
          </w:tcPr>
          <w:p>
            <w:pPr>
              <w:pStyle w:val="TextBody"/>
              <w:widowControl w:val="false"/>
              <w:numPr>
                <w:ilvl w:val="0"/>
                <w:numId w:val="7"/>
              </w:numPr>
              <w:tabs>
                <w:tab w:val="clear" w:pos="709"/>
                <w:tab w:val="left" w:pos="0" w:leader="none"/>
              </w:tabs>
              <w:bidi w:val="0"/>
              <w:spacing w:before="0" w:after="0"/>
              <w:ind w:left="0" w:right="0" w:hanging="0"/>
              <w:jc w:val="left"/>
              <w:rPr>
                <w:rFonts w:ascii="Poppins;sans-serif" w:hAnsi="Poppins;sans-serif" w:eastAsia="Noto Serif CJK SC" w:cs="Lohit Devanagari"/>
                <w:b w:val="false"/>
                <w:b w:val="false"/>
                <w:i w:val="false"/>
                <w:i w:val="false"/>
                <w:caps w:val="false"/>
                <w:smallCaps w:val="false"/>
                <w:color w:val="212529"/>
                <w:spacing w:val="0"/>
                <w:sz w:val="24"/>
                <w:szCs w:val="36"/>
              </w:rPr>
            </w:pPr>
            <w:r>
              <w:rPr>
                <w:rFonts w:eastAsia="Noto Serif CJK SC" w:cs="Lohit Devanagari" w:ascii="Poppins;sans-serif" w:hAnsi="Poppins;sans-serif"/>
                <w:b w:val="false"/>
                <w:i w:val="false"/>
                <w:caps w:val="false"/>
                <w:smallCaps w:val="false"/>
                <w:color w:val="212529"/>
                <w:spacing w:val="0"/>
                <w:sz w:val="24"/>
                <w:szCs w:val="36"/>
              </w:rPr>
              <w:t>Bhartiya, D., Chawla, V., Ghosh, S., Shankar, R. and Kumar, N., 2016. Genome-wide regulatory dynamics of G-quadruplexes in human malaria parasite Plasmodium falciparum. Genomics, 108(5-6), pp.224-231.</w:t>
            </w:r>
          </w:p>
        </w:tc>
      </w:tr>
      <w:tr>
        <w:trPr/>
        <w:tc>
          <w:tcPr>
            <w:tcW w:w="1439" w:type="dxa"/>
            <w:vMerge w:val="continue"/>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r>
          </w:p>
        </w:tc>
        <w:tc>
          <w:tcPr>
            <w:tcW w:w="8205" w:type="dxa"/>
            <w:tcBorders/>
          </w:tcPr>
          <w:p>
            <w:pPr>
              <w:pStyle w:val="TextBody"/>
              <w:widowControl w:val="false"/>
              <w:numPr>
                <w:ilvl w:val="0"/>
                <w:numId w:val="7"/>
              </w:numPr>
              <w:tabs>
                <w:tab w:val="clear" w:pos="709"/>
                <w:tab w:val="left" w:pos="0" w:leader="none"/>
              </w:tabs>
              <w:bidi w:val="0"/>
              <w:spacing w:before="0" w:after="0"/>
              <w:ind w:left="0" w:right="0" w:hanging="0"/>
              <w:jc w:val="left"/>
              <w:rPr>
                <w:rFonts w:ascii="Poppins;sans-serif" w:hAnsi="Poppins;sans-serif" w:eastAsia="Noto Serif CJK SC" w:cs="Lohit Devanagari"/>
                <w:b w:val="false"/>
                <w:b w:val="false"/>
                <w:i w:val="false"/>
                <w:i w:val="false"/>
                <w:caps w:val="false"/>
                <w:smallCaps w:val="false"/>
                <w:color w:val="212529"/>
                <w:spacing w:val="0"/>
                <w:sz w:val="24"/>
                <w:szCs w:val="36"/>
              </w:rPr>
            </w:pPr>
            <w:r>
              <w:rPr>
                <w:rFonts w:eastAsia="Noto Serif CJK SC" w:cs="Lohit Devanagari" w:ascii="Poppins;sans-serif" w:hAnsi="Poppins;sans-serif"/>
                <w:b w:val="false"/>
                <w:i w:val="false"/>
                <w:caps w:val="false"/>
                <w:smallCaps w:val="false"/>
                <w:color w:val="212529"/>
                <w:spacing w:val="0"/>
                <w:sz w:val="24"/>
                <w:szCs w:val="36"/>
              </w:rPr>
              <w:t>Jayaswall, K., Mahajan, P., Singh, G., Parmar, R., Seth, R., Raina, A., Swarnkar, M.K., Singh, A.K., Shankar, R. and Sharma, R.K., 2016. Transcriptome analysis reveals candidate genes involved in blister blight defense in tea (Camellia sinensis (L) Kuntze). Scientific reports, 6(1), p.30412.</w:t>
            </w:r>
          </w:p>
        </w:tc>
      </w:tr>
      <w:tr>
        <w:trPr/>
        <w:tc>
          <w:tcPr>
            <w:tcW w:w="1439" w:type="dxa"/>
            <w:vMerge w:val="continue"/>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r>
          </w:p>
        </w:tc>
        <w:tc>
          <w:tcPr>
            <w:tcW w:w="8205" w:type="dxa"/>
            <w:tcBorders/>
          </w:tcPr>
          <w:p>
            <w:pPr>
              <w:pStyle w:val="TextBody"/>
              <w:widowControl w:val="false"/>
              <w:numPr>
                <w:ilvl w:val="0"/>
                <w:numId w:val="7"/>
              </w:numPr>
              <w:tabs>
                <w:tab w:val="clear" w:pos="709"/>
                <w:tab w:val="left" w:pos="0" w:leader="none"/>
              </w:tabs>
              <w:bidi w:val="0"/>
              <w:spacing w:before="0" w:after="0"/>
              <w:ind w:left="0" w:right="0" w:hanging="0"/>
              <w:jc w:val="left"/>
              <w:rPr>
                <w:rFonts w:ascii="Poppins;sans-serif" w:hAnsi="Poppins;sans-serif" w:eastAsia="Noto Serif CJK SC" w:cs="Lohit Devanagari"/>
                <w:b w:val="false"/>
                <w:b w:val="false"/>
                <w:i w:val="false"/>
                <w:i w:val="false"/>
                <w:caps w:val="false"/>
                <w:smallCaps w:val="false"/>
                <w:color w:val="212529"/>
                <w:spacing w:val="0"/>
                <w:sz w:val="24"/>
                <w:szCs w:val="36"/>
              </w:rPr>
            </w:pPr>
            <w:r>
              <w:rPr>
                <w:rFonts w:eastAsia="Noto Serif CJK SC" w:cs="Lohit Devanagari" w:ascii="Poppins;sans-serif" w:hAnsi="Poppins;sans-serif"/>
                <w:b w:val="false"/>
                <w:i w:val="false"/>
                <w:caps w:val="false"/>
                <w:smallCaps w:val="false"/>
                <w:color w:val="212529"/>
                <w:spacing w:val="0"/>
                <w:sz w:val="24"/>
                <w:szCs w:val="36"/>
              </w:rPr>
              <w:t>Chawla, V., Kumar, R. and Shankar, R., 2016. Identifying wrong assemblies in de novo short read primary sequence assembly contigs. Journal of biosciences, 41, pp.455-474.</w:t>
            </w:r>
          </w:p>
        </w:tc>
      </w:tr>
      <w:tr>
        <w:trPr/>
        <w:tc>
          <w:tcPr>
            <w:tcW w:w="1439" w:type="dxa"/>
            <w:vMerge w:val="continue"/>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r>
          </w:p>
        </w:tc>
        <w:tc>
          <w:tcPr>
            <w:tcW w:w="8205" w:type="dxa"/>
            <w:tcBorders/>
          </w:tcPr>
          <w:p>
            <w:pPr>
              <w:pStyle w:val="TextBody"/>
              <w:widowControl w:val="false"/>
              <w:numPr>
                <w:ilvl w:val="0"/>
                <w:numId w:val="7"/>
              </w:numPr>
              <w:tabs>
                <w:tab w:val="clear" w:pos="709"/>
                <w:tab w:val="left" w:pos="0" w:leader="none"/>
              </w:tabs>
              <w:bidi w:val="0"/>
              <w:spacing w:before="0" w:after="0"/>
              <w:ind w:left="0" w:right="0" w:hanging="0"/>
              <w:jc w:val="left"/>
              <w:rPr>
                <w:rFonts w:ascii="Poppins;sans-serif" w:hAnsi="Poppins;sans-serif" w:eastAsia="Noto Serif CJK SC" w:cs="Lohit Devanagari"/>
                <w:b w:val="false"/>
                <w:b w:val="false"/>
                <w:i w:val="false"/>
                <w:i w:val="false"/>
                <w:caps w:val="false"/>
                <w:smallCaps w:val="false"/>
                <w:color w:val="212529"/>
                <w:spacing w:val="0"/>
                <w:sz w:val="24"/>
                <w:szCs w:val="36"/>
              </w:rPr>
            </w:pPr>
            <w:r>
              <w:rPr>
                <w:rFonts w:eastAsia="Noto Serif CJK SC" w:cs="Lohit Devanagari" w:ascii="Poppins;sans-serif" w:hAnsi="Poppins;sans-serif"/>
                <w:b w:val="false"/>
                <w:i w:val="false"/>
                <w:caps w:val="false"/>
                <w:smallCaps w:val="false"/>
                <w:color w:val="212529"/>
                <w:spacing w:val="0"/>
                <w:sz w:val="24"/>
                <w:szCs w:val="36"/>
              </w:rPr>
              <w:t>Bhardwaj, J., Gangwar, I., Panzade, G., Shankar, R. and Yadav, S.K., 2016. Global de novo protein–protein interactome elucidates interactions of drought-responsive proteins in horse gram (Macrotyloma uniflorum). Journal of Proteome Research, 15(6), pp.1794-1809.</w:t>
            </w:r>
          </w:p>
        </w:tc>
      </w:tr>
      <w:tr>
        <w:trPr/>
        <w:tc>
          <w:tcPr>
            <w:tcW w:w="1439" w:type="dxa"/>
            <w:vMerge w:val="continue"/>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r>
          </w:p>
        </w:tc>
        <w:tc>
          <w:tcPr>
            <w:tcW w:w="8205" w:type="dxa"/>
            <w:tcBorders/>
          </w:tcPr>
          <w:p>
            <w:pPr>
              <w:pStyle w:val="TextBody"/>
              <w:widowControl w:val="false"/>
              <w:numPr>
                <w:ilvl w:val="0"/>
                <w:numId w:val="7"/>
              </w:numPr>
              <w:tabs>
                <w:tab w:val="clear" w:pos="709"/>
                <w:tab w:val="left" w:pos="0" w:leader="none"/>
              </w:tabs>
              <w:bidi w:val="0"/>
              <w:spacing w:before="0" w:after="0"/>
              <w:ind w:left="0" w:right="0" w:hanging="0"/>
              <w:jc w:val="left"/>
              <w:rPr>
                <w:rFonts w:ascii="Poppins;sans-serif" w:hAnsi="Poppins;sans-serif" w:eastAsia="Noto Serif CJK SC" w:cs="Lohit Devanagari"/>
                <w:b w:val="false"/>
                <w:b w:val="false"/>
                <w:i w:val="false"/>
                <w:i w:val="false"/>
                <w:caps w:val="false"/>
                <w:smallCaps w:val="false"/>
                <w:color w:val="212529"/>
                <w:spacing w:val="0"/>
                <w:sz w:val="24"/>
                <w:szCs w:val="36"/>
              </w:rPr>
            </w:pPr>
            <w:r>
              <w:rPr>
                <w:rFonts w:eastAsia="Noto Serif CJK SC" w:cs="Lohit Devanagari" w:ascii="Poppins;sans-serif" w:hAnsi="Poppins;sans-serif"/>
                <w:b w:val="false"/>
                <w:i w:val="false"/>
                <w:caps w:val="false"/>
                <w:smallCaps w:val="false"/>
                <w:color w:val="212529"/>
                <w:spacing w:val="0"/>
                <w:sz w:val="24"/>
                <w:szCs w:val="36"/>
              </w:rPr>
              <w:t>Manjunatha, B.L., Singh, H.R., Ravikanth, G., Nataraja, K.N., Shankar, R., Kumar, S. and Shaanker, R.U., 2016. Transcriptome analysis of stem wood of Nothapodytes nimmoniana (Graham) Mabb. identifies genes associated with biosynthesis of camptothecin, an anti-carcinogenic molecule. Journal of biosciences, 41, pp.119-131.</w:t>
            </w:r>
          </w:p>
        </w:tc>
      </w:tr>
      <w:tr>
        <w:trPr/>
        <w:tc>
          <w:tcPr>
            <w:tcW w:w="1439" w:type="dxa"/>
            <w:vMerge w:val="restart"/>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t>2015</w:t>
            </w:r>
          </w:p>
        </w:tc>
        <w:tc>
          <w:tcPr>
            <w:tcW w:w="8205" w:type="dxa"/>
            <w:tcBorders/>
          </w:tcPr>
          <w:p>
            <w:pPr>
              <w:pStyle w:val="TextBody"/>
              <w:widowControl w:val="false"/>
              <w:numPr>
                <w:ilvl w:val="0"/>
                <w:numId w:val="8"/>
              </w:numPr>
              <w:tabs>
                <w:tab w:val="clear" w:pos="709"/>
                <w:tab w:val="left" w:pos="0" w:leader="none"/>
              </w:tabs>
              <w:bidi w:val="0"/>
              <w:spacing w:before="0" w:after="0"/>
              <w:ind w:left="0" w:right="0" w:hanging="0"/>
              <w:jc w:val="left"/>
              <w:rPr>
                <w:rFonts w:ascii="Poppins;sans-serif" w:hAnsi="Poppins;sans-serif"/>
                <w:b w:val="false"/>
                <w:b w:val="false"/>
                <w:i w:val="false"/>
                <w:i w:val="false"/>
                <w:caps w:val="false"/>
                <w:smallCaps w:val="false"/>
                <w:color w:val="212529"/>
                <w:spacing w:val="0"/>
                <w:sz w:val="24"/>
              </w:rPr>
            </w:pPr>
            <w:r>
              <w:rPr>
                <w:rFonts w:ascii="Poppins;sans-serif" w:hAnsi="Poppins;sans-serif"/>
                <w:b w:val="false"/>
                <w:i w:val="false"/>
                <w:caps w:val="false"/>
                <w:smallCaps w:val="false"/>
                <w:color w:val="212529"/>
                <w:spacing w:val="0"/>
                <w:sz w:val="24"/>
              </w:rPr>
              <w:t>Shafi, A., Chauhan, R., Gill, T., Swarnkar, M.K., Sreenivasulu, Y., Kumar, S., Kumar, N., Shankar, R., Ahuja, P.S. and Singh, A.K., 2015. Expression of SOD and APX genes positively regulates secondary cell wall biosynthesis and promotes plant growth and yield in Arabidopsis under salt stress. Plant Molecular Biology, 87, pp.615-631.</w:t>
            </w:r>
          </w:p>
        </w:tc>
      </w:tr>
      <w:tr>
        <w:trPr/>
        <w:tc>
          <w:tcPr>
            <w:tcW w:w="1439" w:type="dxa"/>
            <w:vMerge w:val="continue"/>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r>
          </w:p>
        </w:tc>
        <w:tc>
          <w:tcPr>
            <w:tcW w:w="8205" w:type="dxa"/>
            <w:tcBorders/>
          </w:tcPr>
          <w:p>
            <w:pPr>
              <w:pStyle w:val="TextBody"/>
              <w:widowControl w:val="false"/>
              <w:numPr>
                <w:ilvl w:val="0"/>
                <w:numId w:val="8"/>
              </w:numPr>
              <w:tabs>
                <w:tab w:val="clear" w:pos="709"/>
                <w:tab w:val="left" w:pos="0" w:leader="none"/>
              </w:tabs>
              <w:bidi w:val="0"/>
              <w:spacing w:before="0" w:after="0"/>
              <w:ind w:left="0" w:right="0" w:hanging="0"/>
              <w:jc w:val="left"/>
              <w:rPr>
                <w:rFonts w:ascii="Poppins;sans-serif" w:hAnsi="Poppins;sans-serif" w:eastAsia="Noto Serif CJK SC" w:cs="Lohit Devanagari"/>
                <w:b w:val="false"/>
                <w:b w:val="false"/>
                <w:i w:val="false"/>
                <w:i w:val="false"/>
                <w:caps w:val="false"/>
                <w:smallCaps w:val="false"/>
                <w:color w:val="212529"/>
                <w:spacing w:val="0"/>
                <w:sz w:val="24"/>
                <w:szCs w:val="36"/>
              </w:rPr>
            </w:pPr>
            <w:r>
              <w:rPr>
                <w:rFonts w:eastAsia="Noto Serif CJK SC" w:cs="Lohit Devanagari" w:ascii="Poppins;sans-serif" w:hAnsi="Poppins;sans-serif"/>
                <w:b w:val="false"/>
                <w:i w:val="false"/>
                <w:caps w:val="false"/>
                <w:smallCaps w:val="false"/>
                <w:color w:val="212529"/>
                <w:spacing w:val="0"/>
                <w:sz w:val="24"/>
                <w:szCs w:val="36"/>
              </w:rPr>
              <w:t>Mehra, M., Gangwar, I. and Shankar, R., 2015. A deluge of complex repeats: the Solanum genome. Plos one, 10(8), p.e0133962.</w:t>
            </w:r>
          </w:p>
        </w:tc>
      </w:tr>
      <w:tr>
        <w:trPr/>
        <w:tc>
          <w:tcPr>
            <w:tcW w:w="1439" w:type="dxa"/>
            <w:vMerge w:val="continue"/>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r>
          </w:p>
        </w:tc>
        <w:tc>
          <w:tcPr>
            <w:tcW w:w="8205" w:type="dxa"/>
            <w:tcBorders/>
          </w:tcPr>
          <w:p>
            <w:pPr>
              <w:pStyle w:val="TextBody"/>
              <w:widowControl w:val="false"/>
              <w:numPr>
                <w:ilvl w:val="0"/>
                <w:numId w:val="8"/>
              </w:numPr>
              <w:tabs>
                <w:tab w:val="clear" w:pos="709"/>
                <w:tab w:val="left" w:pos="0" w:leader="none"/>
              </w:tabs>
              <w:bidi w:val="0"/>
              <w:spacing w:before="0" w:after="0"/>
              <w:ind w:left="0" w:right="0" w:hanging="0"/>
              <w:jc w:val="left"/>
              <w:rPr>
                <w:rFonts w:ascii="Poppins;sans-serif" w:hAnsi="Poppins;sans-serif" w:eastAsia="Noto Serif CJK SC" w:cs="Lohit Devanagari"/>
                <w:b w:val="false"/>
                <w:b w:val="false"/>
                <w:i w:val="false"/>
                <w:i w:val="false"/>
                <w:caps w:val="false"/>
                <w:smallCaps w:val="false"/>
                <w:color w:val="212529"/>
                <w:spacing w:val="0"/>
                <w:sz w:val="24"/>
                <w:szCs w:val="36"/>
              </w:rPr>
            </w:pPr>
            <w:r>
              <w:rPr>
                <w:rFonts w:eastAsia="Noto Serif CJK SC" w:cs="Lohit Devanagari" w:ascii="Poppins;sans-serif" w:hAnsi="Poppins;sans-serif"/>
                <w:b w:val="false"/>
                <w:i w:val="false"/>
                <w:caps w:val="false"/>
                <w:smallCaps w:val="false"/>
                <w:color w:val="212529"/>
                <w:spacing w:val="0"/>
                <w:sz w:val="24"/>
                <w:szCs w:val="36"/>
              </w:rPr>
              <w:t>Jha, A., Panzade, G., Pandey, R. and Shankar, R., 2015. A legion of potential regulatory sRNAs exists beyond the typical microRNAs microcosm. Nucleic acids research, 43(18), pp.8713-8724.</w:t>
            </w:r>
          </w:p>
        </w:tc>
      </w:tr>
      <w:tr>
        <w:trPr/>
        <w:tc>
          <w:tcPr>
            <w:tcW w:w="1439" w:type="dxa"/>
            <w:vMerge w:val="restart"/>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t>2014</w:t>
            </w:r>
          </w:p>
        </w:tc>
        <w:tc>
          <w:tcPr>
            <w:tcW w:w="8205" w:type="dxa"/>
            <w:tcBorders/>
          </w:tcPr>
          <w:p>
            <w:pPr>
              <w:pStyle w:val="TextBody"/>
              <w:widowControl w:val="false"/>
              <w:numPr>
                <w:ilvl w:val="0"/>
                <w:numId w:val="9"/>
              </w:numPr>
              <w:tabs>
                <w:tab w:val="clear" w:pos="709"/>
                <w:tab w:val="left" w:pos="0" w:leader="none"/>
              </w:tabs>
              <w:bidi w:val="0"/>
              <w:spacing w:before="0" w:after="0"/>
              <w:ind w:left="0" w:right="0" w:hanging="0"/>
              <w:jc w:val="left"/>
              <w:rPr>
                <w:rFonts w:ascii="Poppins;sans-serif" w:hAnsi="Poppins;sans-serif"/>
                <w:b w:val="false"/>
                <w:b w:val="false"/>
                <w:i w:val="false"/>
                <w:i w:val="false"/>
                <w:caps w:val="false"/>
                <w:smallCaps w:val="false"/>
                <w:color w:val="212529"/>
                <w:spacing w:val="0"/>
                <w:sz w:val="24"/>
              </w:rPr>
            </w:pPr>
            <w:r>
              <w:rPr>
                <w:rFonts w:ascii="Poppins;sans-serif" w:hAnsi="Poppins;sans-serif"/>
                <w:b w:val="false"/>
                <w:i w:val="false"/>
                <w:caps w:val="false"/>
                <w:smallCaps w:val="false"/>
                <w:color w:val="212529"/>
                <w:spacing w:val="0"/>
                <w:sz w:val="24"/>
              </w:rPr>
              <w:t>Paul, A., Jha, A., Bhardwaj, S., Singh, S., Shankar, R. and Kumar, S., 2014. RNA-seq-mediated transcriptome analysis of actively growing and winter dormant shoots identifies non-deciduous habit of evergreen tree tea during winters. Scientific Reports, 4(1), p.5932.</w:t>
            </w:r>
          </w:p>
        </w:tc>
      </w:tr>
      <w:tr>
        <w:trPr/>
        <w:tc>
          <w:tcPr>
            <w:tcW w:w="1439" w:type="dxa"/>
            <w:vMerge w:val="continue"/>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r>
          </w:p>
        </w:tc>
        <w:tc>
          <w:tcPr>
            <w:tcW w:w="8205" w:type="dxa"/>
            <w:tcBorders/>
          </w:tcPr>
          <w:p>
            <w:pPr>
              <w:pStyle w:val="TextBody"/>
              <w:widowControl w:val="false"/>
              <w:numPr>
                <w:ilvl w:val="0"/>
                <w:numId w:val="9"/>
              </w:numPr>
              <w:tabs>
                <w:tab w:val="clear" w:pos="709"/>
                <w:tab w:val="left" w:pos="0" w:leader="none"/>
              </w:tabs>
              <w:bidi w:val="0"/>
              <w:spacing w:before="0" w:after="0"/>
              <w:ind w:left="0" w:right="0" w:hanging="0"/>
              <w:jc w:val="left"/>
              <w:rPr>
                <w:rFonts w:ascii="Poppins;sans-serif" w:hAnsi="Poppins;sans-serif" w:eastAsia="Noto Serif CJK SC" w:cs="Lohit Devanagari"/>
                <w:b w:val="false"/>
                <w:b w:val="false"/>
                <w:i w:val="false"/>
                <w:i w:val="false"/>
                <w:caps w:val="false"/>
                <w:smallCaps w:val="false"/>
                <w:color w:val="212529"/>
                <w:spacing w:val="0"/>
                <w:sz w:val="24"/>
                <w:szCs w:val="36"/>
              </w:rPr>
            </w:pPr>
            <w:r>
              <w:rPr>
                <w:rFonts w:eastAsia="Noto Serif CJK SC" w:cs="Lohit Devanagari" w:ascii="Poppins;sans-serif" w:hAnsi="Poppins;sans-serif"/>
                <w:b w:val="false"/>
                <w:i w:val="false"/>
                <w:caps w:val="false"/>
                <w:smallCaps w:val="false"/>
                <w:color w:val="212529"/>
                <w:spacing w:val="0"/>
                <w:sz w:val="24"/>
                <w:szCs w:val="36"/>
              </w:rPr>
              <w:t>Jha, A. and Shankar, R., 2014. MiRNAting control of DNA methylation. Journal of biosciences, 39, pp.365-380.</w:t>
            </w:r>
          </w:p>
        </w:tc>
      </w:tr>
      <w:tr>
        <w:trPr/>
        <w:tc>
          <w:tcPr>
            <w:tcW w:w="1439" w:type="dxa"/>
            <w:vMerge w:val="continue"/>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r>
          </w:p>
        </w:tc>
        <w:tc>
          <w:tcPr>
            <w:tcW w:w="8205" w:type="dxa"/>
            <w:tcBorders/>
          </w:tcPr>
          <w:p>
            <w:pPr>
              <w:pStyle w:val="TextBody"/>
              <w:widowControl w:val="false"/>
              <w:numPr>
                <w:ilvl w:val="0"/>
                <w:numId w:val="9"/>
              </w:numPr>
              <w:tabs>
                <w:tab w:val="clear" w:pos="709"/>
                <w:tab w:val="left" w:pos="0" w:leader="none"/>
              </w:tabs>
              <w:bidi w:val="0"/>
              <w:spacing w:before="0" w:after="0"/>
              <w:ind w:left="0" w:right="0" w:hanging="0"/>
              <w:jc w:val="left"/>
              <w:rPr>
                <w:rFonts w:ascii="Poppins;sans-serif" w:hAnsi="Poppins;sans-serif" w:eastAsia="Noto Serif CJK SC" w:cs="Lohit Devanagari"/>
                <w:b w:val="false"/>
                <w:b w:val="false"/>
                <w:i w:val="false"/>
                <w:i w:val="false"/>
                <w:caps w:val="false"/>
                <w:smallCaps w:val="false"/>
                <w:color w:val="212529"/>
                <w:spacing w:val="0"/>
                <w:sz w:val="24"/>
                <w:szCs w:val="36"/>
              </w:rPr>
            </w:pPr>
            <w:r>
              <w:rPr>
                <w:rFonts w:eastAsia="Noto Serif CJK SC" w:cs="Lohit Devanagari" w:ascii="Poppins;sans-serif" w:hAnsi="Poppins;sans-serif"/>
                <w:b w:val="false"/>
                <w:i w:val="false"/>
                <w:caps w:val="false"/>
                <w:smallCaps w:val="false"/>
                <w:color w:val="212529"/>
                <w:spacing w:val="0"/>
                <w:sz w:val="24"/>
                <w:szCs w:val="36"/>
              </w:rPr>
              <w:t>Kumari, A., Singh, H.R., Jha, A., Swarnkar, M.K., Shankar, R. and Kumar, S., 2014. Transcriptome sequencing of rhizome tissue of Sinopodophyllum hexandrum at two temperatures. BMC genomics, 15, pp.1-17.</w:t>
            </w:r>
          </w:p>
        </w:tc>
      </w:tr>
      <w:tr>
        <w:trPr/>
        <w:tc>
          <w:tcPr>
            <w:tcW w:w="1439" w:type="dxa"/>
            <w:vMerge w:val="restart"/>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t>2013</w:t>
            </w:r>
          </w:p>
        </w:tc>
        <w:tc>
          <w:tcPr>
            <w:tcW w:w="8205" w:type="dxa"/>
            <w:tcBorders/>
          </w:tcPr>
          <w:p>
            <w:pPr>
              <w:pStyle w:val="TextBody"/>
              <w:widowControl w:val="false"/>
              <w:numPr>
                <w:ilvl w:val="0"/>
                <w:numId w:val="10"/>
              </w:numPr>
              <w:tabs>
                <w:tab w:val="clear" w:pos="709"/>
                <w:tab w:val="left" w:pos="0" w:leader="none"/>
              </w:tabs>
              <w:bidi w:val="0"/>
              <w:spacing w:before="0" w:after="0"/>
              <w:ind w:left="0" w:right="0" w:hanging="0"/>
              <w:jc w:val="left"/>
              <w:rPr>
                <w:rFonts w:ascii="Poppins;sans-serif" w:hAnsi="Poppins;sans-serif"/>
                <w:b w:val="false"/>
                <w:b w:val="false"/>
                <w:i w:val="false"/>
                <w:i w:val="false"/>
                <w:caps w:val="false"/>
                <w:smallCaps w:val="false"/>
                <w:color w:val="212529"/>
                <w:spacing w:val="0"/>
                <w:sz w:val="24"/>
              </w:rPr>
            </w:pPr>
            <w:r>
              <w:rPr>
                <w:rFonts w:ascii="Poppins;sans-serif" w:hAnsi="Poppins;sans-serif"/>
                <w:b w:val="false"/>
                <w:i w:val="false"/>
                <w:caps w:val="false"/>
                <w:smallCaps w:val="false"/>
                <w:color w:val="212529"/>
                <w:spacing w:val="0"/>
                <w:sz w:val="24"/>
              </w:rPr>
              <w:t>Bhardwaj, J., Chauhan, R., Swarnkar, M.K., Chahota, R.K., Singh, A.K., Shankar, R. and Yadav, S.K., 2013. Comprehensive transcriptomic study on horse gram (Macrotyloma uniflorum): De novo assembly, functional characterization and comparative analysis in relation to drought stress. BMC genomics, 14, pp.1-18.</w:t>
            </w:r>
          </w:p>
        </w:tc>
      </w:tr>
      <w:tr>
        <w:trPr/>
        <w:tc>
          <w:tcPr>
            <w:tcW w:w="1439" w:type="dxa"/>
            <w:vMerge w:val="continue"/>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r>
          </w:p>
        </w:tc>
        <w:tc>
          <w:tcPr>
            <w:tcW w:w="8205" w:type="dxa"/>
            <w:tcBorders/>
          </w:tcPr>
          <w:p>
            <w:pPr>
              <w:pStyle w:val="TextBody"/>
              <w:widowControl w:val="false"/>
              <w:numPr>
                <w:ilvl w:val="0"/>
                <w:numId w:val="10"/>
              </w:numPr>
              <w:tabs>
                <w:tab w:val="clear" w:pos="709"/>
                <w:tab w:val="left" w:pos="0" w:leader="none"/>
              </w:tabs>
              <w:bidi w:val="0"/>
              <w:spacing w:before="0" w:after="0"/>
              <w:ind w:left="0" w:right="0" w:hanging="0"/>
              <w:jc w:val="left"/>
              <w:rPr>
                <w:rFonts w:ascii="Poppins;sans-serif" w:hAnsi="Poppins;sans-serif" w:eastAsia="Noto Serif CJK SC" w:cs="Lohit Devanagari"/>
                <w:b w:val="false"/>
                <w:b w:val="false"/>
                <w:i w:val="false"/>
                <w:i w:val="false"/>
                <w:caps w:val="false"/>
                <w:smallCaps w:val="false"/>
                <w:color w:val="212529"/>
                <w:spacing w:val="0"/>
                <w:sz w:val="24"/>
                <w:szCs w:val="36"/>
              </w:rPr>
            </w:pPr>
            <w:r>
              <w:rPr>
                <w:rFonts w:eastAsia="Noto Serif CJK SC" w:cs="Lohit Devanagari" w:ascii="Poppins;sans-serif" w:hAnsi="Poppins;sans-serif"/>
                <w:b w:val="false"/>
                <w:i w:val="false"/>
                <w:caps w:val="false"/>
                <w:smallCaps w:val="false"/>
                <w:color w:val="212529"/>
                <w:spacing w:val="0"/>
                <w:sz w:val="24"/>
                <w:szCs w:val="36"/>
              </w:rPr>
              <w:t>Jha, A. and Shankar, R., 2013. miReader: discovering novel miRNAs in species without sequenced genome. PloS one, 8(6), p.e66857.</w:t>
            </w:r>
          </w:p>
        </w:tc>
      </w:tr>
      <w:tr>
        <w:trPr/>
        <w:tc>
          <w:tcPr>
            <w:tcW w:w="1439" w:type="dxa"/>
            <w:vMerge w:val="continue"/>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r>
          </w:p>
        </w:tc>
        <w:tc>
          <w:tcPr>
            <w:tcW w:w="8205" w:type="dxa"/>
            <w:tcBorders/>
          </w:tcPr>
          <w:p>
            <w:pPr>
              <w:pStyle w:val="TextBody"/>
              <w:widowControl w:val="false"/>
              <w:numPr>
                <w:ilvl w:val="0"/>
                <w:numId w:val="10"/>
              </w:numPr>
              <w:tabs>
                <w:tab w:val="clear" w:pos="709"/>
                <w:tab w:val="left" w:pos="0" w:leader="none"/>
              </w:tabs>
              <w:bidi w:val="0"/>
              <w:spacing w:before="0" w:after="0"/>
              <w:ind w:left="0" w:right="0" w:hanging="0"/>
              <w:jc w:val="left"/>
              <w:rPr>
                <w:rFonts w:ascii="Poppins;sans-serif" w:hAnsi="Poppins;sans-serif" w:eastAsia="Noto Serif CJK SC" w:cs="Lohit Devanagari"/>
                <w:b w:val="false"/>
                <w:b w:val="false"/>
                <w:i w:val="false"/>
                <w:i w:val="false"/>
                <w:caps w:val="false"/>
                <w:smallCaps w:val="false"/>
                <w:color w:val="212529"/>
                <w:spacing w:val="0"/>
                <w:sz w:val="24"/>
                <w:szCs w:val="36"/>
              </w:rPr>
            </w:pPr>
            <w:r>
              <w:rPr>
                <w:rFonts w:eastAsia="Noto Serif CJK SC" w:cs="Lohit Devanagari" w:ascii="Poppins;sans-serif" w:hAnsi="Poppins;sans-serif"/>
                <w:b w:val="false"/>
                <w:i w:val="false"/>
                <w:caps w:val="false"/>
                <w:smallCaps w:val="false"/>
                <w:color w:val="212529"/>
                <w:spacing w:val="0"/>
                <w:sz w:val="24"/>
                <w:szCs w:val="36"/>
              </w:rPr>
              <w:t>Thakur, K., Chawla, V., Bhatti, S., Swarnkar, M.K., Kaur, J., Shankar, R. and Jha, G., 2013. De novo transcriptome sequencing and analysis for Venturia inaequalis, the devastating apple scab pathogen. PloS one, 8(1), p.e53937.</w:t>
            </w:r>
          </w:p>
        </w:tc>
      </w:tr>
      <w:tr>
        <w:trPr/>
        <w:tc>
          <w:tcPr>
            <w:tcW w:w="1439" w:type="dxa"/>
            <w:vMerge w:val="restart"/>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t>2012</w:t>
            </w:r>
          </w:p>
        </w:tc>
        <w:tc>
          <w:tcPr>
            <w:tcW w:w="8205" w:type="dxa"/>
            <w:tcBorders/>
          </w:tcPr>
          <w:p>
            <w:pPr>
              <w:pStyle w:val="TextBody"/>
              <w:widowControl w:val="false"/>
              <w:numPr>
                <w:ilvl w:val="0"/>
                <w:numId w:val="11"/>
              </w:numPr>
              <w:tabs>
                <w:tab w:val="clear" w:pos="709"/>
                <w:tab w:val="left" w:pos="0" w:leader="none"/>
              </w:tabs>
              <w:bidi w:val="0"/>
              <w:spacing w:before="0" w:after="0"/>
              <w:ind w:left="0" w:right="0" w:hanging="0"/>
              <w:jc w:val="left"/>
              <w:rPr>
                <w:rFonts w:ascii="Poppins;sans-serif" w:hAnsi="Poppins;sans-serif"/>
                <w:b w:val="false"/>
                <w:b w:val="false"/>
                <w:i w:val="false"/>
                <w:i w:val="false"/>
                <w:caps w:val="false"/>
                <w:smallCaps w:val="false"/>
                <w:color w:val="212529"/>
                <w:spacing w:val="0"/>
                <w:sz w:val="24"/>
              </w:rPr>
            </w:pPr>
            <w:r>
              <w:rPr>
                <w:rFonts w:ascii="Poppins;sans-serif" w:hAnsi="Poppins;sans-serif"/>
                <w:b w:val="false"/>
                <w:i w:val="false"/>
                <w:caps w:val="false"/>
                <w:smallCaps w:val="false"/>
                <w:color w:val="212529"/>
                <w:spacing w:val="0"/>
                <w:sz w:val="24"/>
              </w:rPr>
              <w:t>Jha, A., Chauhan, R., Mehra, M., Singh, H.R. and Shankar, R., 2012. miR-BAG: bagging based identification of microRNA precursors.</w:t>
            </w:r>
          </w:p>
        </w:tc>
      </w:tr>
      <w:tr>
        <w:trPr/>
        <w:tc>
          <w:tcPr>
            <w:tcW w:w="1439" w:type="dxa"/>
            <w:vMerge w:val="continue"/>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r>
          </w:p>
        </w:tc>
        <w:tc>
          <w:tcPr>
            <w:tcW w:w="8205" w:type="dxa"/>
            <w:tcBorders/>
          </w:tcPr>
          <w:p>
            <w:pPr>
              <w:pStyle w:val="TextBody"/>
              <w:widowControl w:val="false"/>
              <w:numPr>
                <w:ilvl w:val="0"/>
                <w:numId w:val="11"/>
              </w:numPr>
              <w:tabs>
                <w:tab w:val="clear" w:pos="709"/>
                <w:tab w:val="left" w:pos="0" w:leader="none"/>
              </w:tabs>
              <w:bidi w:val="0"/>
              <w:spacing w:before="0" w:after="0"/>
              <w:ind w:left="0" w:right="0" w:hanging="0"/>
              <w:jc w:val="left"/>
              <w:rPr>
                <w:rFonts w:ascii="Poppins;sans-serif" w:hAnsi="Poppins;sans-serif" w:eastAsia="Noto Serif CJK SC" w:cs="Lohit Devanagari"/>
                <w:b w:val="false"/>
                <w:b w:val="false"/>
                <w:i w:val="false"/>
                <w:i w:val="false"/>
                <w:caps w:val="false"/>
                <w:smallCaps w:val="false"/>
                <w:color w:val="212529"/>
                <w:spacing w:val="0"/>
                <w:sz w:val="24"/>
                <w:szCs w:val="36"/>
              </w:rPr>
            </w:pPr>
            <w:r>
              <w:rPr>
                <w:rFonts w:eastAsia="Noto Serif CJK SC" w:cs="Lohit Devanagari" w:ascii="Poppins;sans-serif" w:hAnsi="Poppins;sans-serif"/>
                <w:b w:val="false"/>
                <w:i w:val="false"/>
                <w:caps w:val="false"/>
                <w:smallCaps w:val="false"/>
                <w:color w:val="212529"/>
                <w:spacing w:val="0"/>
                <w:sz w:val="24"/>
                <w:szCs w:val="36"/>
              </w:rPr>
              <w:t>Gahlan, P., Singh, H.R., Shankar, R., Sharma, N., Kumari, A., Chawla, V., Ahuja, P.S. and Kumar, S., 2012. De novo sequencing and characterization of Picrorhiza kurrooa transcriptome at two temperatures showed major transcriptome adjustments. BMC genomics, 13(1), pp.1-21.</w:t>
            </w:r>
          </w:p>
        </w:tc>
      </w:tr>
      <w:tr>
        <w:trPr/>
        <w:tc>
          <w:tcPr>
            <w:tcW w:w="1439" w:type="dxa"/>
            <w:vMerge w:val="restart"/>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t>2011</w:t>
            </w:r>
          </w:p>
        </w:tc>
        <w:tc>
          <w:tcPr>
            <w:tcW w:w="8205" w:type="dxa"/>
            <w:tcBorders/>
          </w:tcPr>
          <w:p>
            <w:pPr>
              <w:pStyle w:val="TextBody"/>
              <w:widowControl w:val="false"/>
              <w:numPr>
                <w:ilvl w:val="0"/>
                <w:numId w:val="12"/>
              </w:numPr>
              <w:tabs>
                <w:tab w:val="clear" w:pos="709"/>
                <w:tab w:val="left" w:pos="0" w:leader="none"/>
              </w:tabs>
              <w:bidi w:val="0"/>
              <w:spacing w:before="0" w:after="0"/>
              <w:ind w:left="0" w:right="0" w:hanging="0"/>
              <w:jc w:val="left"/>
              <w:rPr>
                <w:rFonts w:ascii="Poppins;sans-serif" w:hAnsi="Poppins;sans-serif"/>
                <w:b w:val="false"/>
                <w:b w:val="false"/>
                <w:i w:val="false"/>
                <w:i w:val="false"/>
                <w:caps w:val="false"/>
                <w:smallCaps w:val="false"/>
                <w:color w:val="212529"/>
                <w:spacing w:val="0"/>
                <w:sz w:val="24"/>
              </w:rPr>
            </w:pPr>
            <w:r>
              <w:rPr>
                <w:rFonts w:ascii="Poppins;sans-serif" w:hAnsi="Poppins;sans-serif"/>
                <w:b w:val="false"/>
                <w:i w:val="false"/>
                <w:caps w:val="false"/>
                <w:smallCaps w:val="false"/>
                <w:color w:val="212529"/>
                <w:spacing w:val="0"/>
                <w:sz w:val="24"/>
              </w:rPr>
              <w:t>Jha, A. and Shankar, R., 2011. Employing machine learning for reliable miRNA target identification in plants. BMC genomics, 12, pp.1-18.</w:t>
            </w:r>
          </w:p>
        </w:tc>
      </w:tr>
      <w:tr>
        <w:trPr/>
        <w:tc>
          <w:tcPr>
            <w:tcW w:w="1439" w:type="dxa"/>
            <w:vMerge w:val="continue"/>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r>
          </w:p>
        </w:tc>
        <w:tc>
          <w:tcPr>
            <w:tcW w:w="8205" w:type="dxa"/>
            <w:tcBorders/>
          </w:tcPr>
          <w:p>
            <w:pPr>
              <w:pStyle w:val="TextBody"/>
              <w:widowControl w:val="false"/>
              <w:numPr>
                <w:ilvl w:val="0"/>
                <w:numId w:val="12"/>
              </w:numPr>
              <w:tabs>
                <w:tab w:val="clear" w:pos="709"/>
                <w:tab w:val="left" w:pos="0" w:leader="none"/>
              </w:tabs>
              <w:bidi w:val="0"/>
              <w:spacing w:before="0" w:after="0"/>
              <w:ind w:left="0" w:right="0" w:hanging="0"/>
              <w:jc w:val="left"/>
              <w:rPr>
                <w:rFonts w:ascii="Poppins;sans-serif" w:hAnsi="Poppins;sans-serif" w:eastAsia="Noto Serif CJK SC" w:cs="Lohit Devanagari"/>
                <w:b w:val="false"/>
                <w:b w:val="false"/>
                <w:i w:val="false"/>
                <w:i w:val="false"/>
                <w:caps w:val="false"/>
                <w:smallCaps w:val="false"/>
                <w:color w:val="212529"/>
                <w:spacing w:val="0"/>
                <w:sz w:val="24"/>
                <w:szCs w:val="36"/>
              </w:rPr>
            </w:pPr>
            <w:r>
              <w:rPr>
                <w:rFonts w:eastAsia="Noto Serif CJK SC" w:cs="Lohit Devanagari" w:ascii="Poppins;sans-serif" w:hAnsi="Poppins;sans-serif"/>
                <w:b w:val="false"/>
                <w:i w:val="false"/>
                <w:caps w:val="false"/>
                <w:smallCaps w:val="false"/>
                <w:color w:val="212529"/>
                <w:spacing w:val="0"/>
                <w:sz w:val="24"/>
                <w:szCs w:val="36"/>
              </w:rPr>
              <w:t>Jha, A., Mehra, M. and Shankar, R., 2011. The regulatory epicenter of miRNAs. Journal of biosciences, 36, pp.621-638.</w:t>
            </w:r>
          </w:p>
        </w:tc>
      </w:tr>
      <w:tr>
        <w:trPr/>
        <w:tc>
          <w:tcPr>
            <w:tcW w:w="1439" w:type="dxa"/>
            <w:vMerge w:val="restart"/>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t>2010</w:t>
            </w:r>
          </w:p>
        </w:tc>
        <w:tc>
          <w:tcPr>
            <w:tcW w:w="8205" w:type="dxa"/>
            <w:tcBorders/>
          </w:tcPr>
          <w:p>
            <w:pPr>
              <w:pStyle w:val="TextBody"/>
              <w:widowControl w:val="false"/>
              <w:numPr>
                <w:ilvl w:val="0"/>
                <w:numId w:val="13"/>
              </w:numPr>
              <w:tabs>
                <w:tab w:val="clear" w:pos="709"/>
                <w:tab w:val="left" w:pos="0" w:leader="none"/>
              </w:tabs>
              <w:bidi w:val="0"/>
              <w:spacing w:before="0" w:after="0"/>
              <w:ind w:left="0" w:right="0" w:hanging="0"/>
              <w:jc w:val="left"/>
              <w:rPr>
                <w:rFonts w:ascii="Poppins;sans-serif" w:hAnsi="Poppins;sans-serif"/>
                <w:b w:val="false"/>
                <w:b w:val="false"/>
                <w:i w:val="false"/>
                <w:i w:val="false"/>
                <w:caps w:val="false"/>
                <w:smallCaps w:val="false"/>
                <w:color w:val="212529"/>
                <w:spacing w:val="0"/>
                <w:sz w:val="24"/>
              </w:rPr>
            </w:pPr>
            <w:r>
              <w:rPr>
                <w:rFonts w:ascii="Poppins;sans-serif" w:hAnsi="Poppins;sans-serif"/>
                <w:b w:val="false"/>
                <w:i w:val="false"/>
                <w:caps w:val="false"/>
                <w:smallCaps w:val="false"/>
                <w:color w:val="212529"/>
                <w:spacing w:val="0"/>
                <w:sz w:val="24"/>
              </w:rPr>
              <w:t>Shankar, R., 2011. The bioinformatics of next generation sequencing: a meeting report. Journal of molecular cell biology, 3(3), pp.147-150.</w:t>
            </w:r>
          </w:p>
        </w:tc>
      </w:tr>
      <w:tr>
        <w:trPr/>
        <w:tc>
          <w:tcPr>
            <w:tcW w:w="1439" w:type="dxa"/>
            <w:vMerge w:val="continue"/>
            <w:tcBorders/>
          </w:tcPr>
          <w:p>
            <w:pPr>
              <w:pStyle w:val="TableContents"/>
              <w:widowControl w:val="false"/>
              <w:bidi w:val="0"/>
              <w:jc w:val="left"/>
              <w:rPr>
                <w:rFonts w:ascii="Poppins;sans-serif" w:hAnsi="Poppins;sans-serif" w:eastAsia="Noto Serif CJK SC" w:cs="Lohit Devanagari"/>
                <w:sz w:val="36"/>
                <w:szCs w:val="36"/>
              </w:rPr>
            </w:pPr>
            <w:r>
              <w:rPr>
                <w:rFonts w:eastAsia="Noto Serif CJK SC" w:cs="Lohit Devanagari" w:ascii="Poppins;sans-serif" w:hAnsi="Poppins;sans-serif"/>
                <w:sz w:val="36"/>
                <w:szCs w:val="36"/>
              </w:rPr>
            </w:r>
          </w:p>
        </w:tc>
        <w:tc>
          <w:tcPr>
            <w:tcW w:w="8205" w:type="dxa"/>
            <w:tcBorders/>
          </w:tcPr>
          <w:p>
            <w:pPr>
              <w:pStyle w:val="TextBody"/>
              <w:widowControl w:val="false"/>
              <w:numPr>
                <w:ilvl w:val="0"/>
                <w:numId w:val="13"/>
              </w:numPr>
              <w:tabs>
                <w:tab w:val="clear" w:pos="709"/>
                <w:tab w:val="left" w:pos="0" w:leader="none"/>
              </w:tabs>
              <w:bidi w:val="0"/>
              <w:spacing w:before="0" w:after="0"/>
              <w:ind w:left="0" w:right="0" w:hanging="0"/>
              <w:jc w:val="left"/>
              <w:rPr>
                <w:rFonts w:ascii="Poppins;sans-serif" w:hAnsi="Poppins;sans-serif" w:eastAsia="Noto Serif CJK SC" w:cs="Lohit Devanagari"/>
                <w:b w:val="false"/>
                <w:b w:val="false"/>
                <w:i w:val="false"/>
                <w:i w:val="false"/>
                <w:caps w:val="false"/>
                <w:smallCaps w:val="false"/>
                <w:color w:val="212529"/>
                <w:spacing w:val="0"/>
                <w:sz w:val="24"/>
                <w:szCs w:val="36"/>
              </w:rPr>
            </w:pPr>
            <w:r>
              <w:rPr>
                <w:rFonts w:eastAsia="Noto Serif CJK SC" w:cs="Lohit Devanagari" w:ascii="Poppins;sans-serif" w:hAnsi="Poppins;sans-serif"/>
                <w:b w:val="false"/>
                <w:i w:val="false"/>
                <w:caps w:val="false"/>
                <w:smallCaps w:val="false"/>
                <w:color w:val="212529"/>
                <w:spacing w:val="0"/>
                <w:sz w:val="24"/>
                <w:szCs w:val="36"/>
              </w:rPr>
              <w:t>Heikham, R. and Shankar, R., 2010. Flanking region sequence information to refine microRNA target predictions. Journal of biosciences, 35, pp.105-118.</w:t>
            </w:r>
          </w:p>
        </w:tc>
      </w:tr>
    </w:tbl>
    <w:p>
      <w:pPr>
        <w:pStyle w:val="Heading2"/>
        <w:bidi w:val="0"/>
        <w:jc w:val="left"/>
        <w:rPr>
          <w:rFonts w:ascii="Poppins;sans-serif" w:hAnsi="Poppins;sans-serif"/>
          <w:b w:val="false"/>
          <w:b w:val="false"/>
          <w:i w:val="false"/>
          <w:i w:val="false"/>
          <w:caps w:val="false"/>
          <w:smallCaps w:val="false"/>
          <w:color w:val="212529"/>
          <w:spacing w:val="0"/>
          <w:sz w:val="24"/>
        </w:rPr>
      </w:pPr>
      <w:r>
        <w:rPr>
          <w:rFonts w:ascii="Poppins;sans-serif" w:hAnsi="Poppins;sans-serif"/>
          <w:b w:val="false"/>
          <w:i w:val="false"/>
          <w:caps w:val="false"/>
          <w:smallCaps w:val="false"/>
          <w:color w:val="212529"/>
          <w:spacing w:val="0"/>
          <w:sz w:val="24"/>
        </w:rPr>
      </w:r>
    </w:p>
    <w:p>
      <w:pPr>
        <w:pStyle w:val="TextBody"/>
        <w:widowControl/>
        <w:bidi w:val="0"/>
        <w:spacing w:before="0" w:after="0"/>
        <w:ind w:left="0" w:right="0" w:hanging="0"/>
        <w:jc w:val="left"/>
        <w:rPr>
          <w:rFonts w:ascii="Poppins;sans-serif" w:hAnsi="Poppins;sans-serif"/>
          <w:b w:val="false"/>
          <w:b w:val="false"/>
          <w:i w:val="false"/>
          <w:i w:val="false"/>
          <w:caps w:val="false"/>
          <w:smallCaps w:val="false"/>
          <w:color w:val="212529"/>
          <w:spacing w:val="0"/>
          <w:sz w:val="24"/>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Poppins">
    <w:altName w:val="sans-serif"/>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2">
    <w:lvl w:ilvl="0">
      <w:start w:val="1"/>
      <w:numFmt w:val="decimal"/>
      <w:suff w:val="nothing"/>
      <w:lvlText w:val="%1."/>
      <w:lvlJc w:val="left"/>
      <w:pPr>
        <w:tabs>
          <w:tab w:val="num" w:pos="0"/>
        </w:tabs>
        <w:ind w:left="0" w:hanging="0"/>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3">
    <w:lvl w:ilvl="0">
      <w:start w:val="1"/>
      <w:numFmt w:val="decimal"/>
      <w:suff w:val="nothing"/>
      <w:lvlText w:val="%1."/>
      <w:lvlJc w:val="left"/>
      <w:pPr>
        <w:tabs>
          <w:tab w:val="num" w:pos="0"/>
        </w:tabs>
        <w:ind w:left="0" w:hanging="0"/>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4">
    <w:lvl w:ilvl="0">
      <w:start w:val="1"/>
      <w:numFmt w:val="decimal"/>
      <w:suff w:val="nothing"/>
      <w:lvlText w:val="%1."/>
      <w:lvlJc w:val="left"/>
      <w:pPr>
        <w:tabs>
          <w:tab w:val="num" w:pos="0"/>
        </w:tabs>
        <w:ind w:left="0" w:hanging="0"/>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5">
    <w:lvl w:ilvl="0">
      <w:start w:val="1"/>
      <w:numFmt w:val="decimal"/>
      <w:suff w:val="nothing"/>
      <w:lvlText w:val="%1."/>
      <w:lvlJc w:val="left"/>
      <w:pPr>
        <w:tabs>
          <w:tab w:val="num" w:pos="0"/>
        </w:tabs>
        <w:ind w:left="0" w:hanging="0"/>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6">
    <w:lvl w:ilvl="0">
      <w:start w:val="1"/>
      <w:numFmt w:val="decimal"/>
      <w:suff w:val="nothing"/>
      <w:lvlText w:val="%1."/>
      <w:lvlJc w:val="left"/>
      <w:pPr>
        <w:tabs>
          <w:tab w:val="num" w:pos="0"/>
        </w:tabs>
        <w:ind w:left="0" w:hanging="0"/>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7">
    <w:lvl w:ilvl="0">
      <w:start w:val="1"/>
      <w:numFmt w:val="decimal"/>
      <w:suff w:val="nothing"/>
      <w:lvlText w:val="%1."/>
      <w:lvlJc w:val="left"/>
      <w:pPr>
        <w:tabs>
          <w:tab w:val="num" w:pos="0"/>
        </w:tabs>
        <w:ind w:left="0" w:hanging="0"/>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8">
    <w:lvl w:ilvl="0">
      <w:start w:val="1"/>
      <w:numFmt w:val="decimal"/>
      <w:suff w:val="nothing"/>
      <w:lvlText w:val="%1."/>
      <w:lvlJc w:val="left"/>
      <w:pPr>
        <w:tabs>
          <w:tab w:val="num" w:pos="0"/>
        </w:tabs>
        <w:ind w:left="0" w:hanging="0"/>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9">
    <w:lvl w:ilvl="0">
      <w:start w:val="1"/>
      <w:numFmt w:val="decimal"/>
      <w:suff w:val="nothing"/>
      <w:lvlText w:val="%1."/>
      <w:lvlJc w:val="left"/>
      <w:pPr>
        <w:tabs>
          <w:tab w:val="num" w:pos="0"/>
        </w:tabs>
        <w:ind w:left="0" w:hanging="0"/>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10">
    <w:lvl w:ilvl="0">
      <w:start w:val="1"/>
      <w:numFmt w:val="decimal"/>
      <w:suff w:val="nothing"/>
      <w:lvlText w:val="%1."/>
      <w:lvlJc w:val="left"/>
      <w:pPr>
        <w:tabs>
          <w:tab w:val="num" w:pos="0"/>
        </w:tabs>
        <w:ind w:left="0" w:hanging="0"/>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11">
    <w:lvl w:ilvl="0">
      <w:start w:val="1"/>
      <w:numFmt w:val="decimal"/>
      <w:suff w:val="nothing"/>
      <w:lvlText w:val="%1."/>
      <w:lvlJc w:val="left"/>
      <w:pPr>
        <w:tabs>
          <w:tab w:val="num" w:pos="0"/>
        </w:tabs>
        <w:ind w:left="0" w:hanging="0"/>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12">
    <w:lvl w:ilvl="0">
      <w:start w:val="1"/>
      <w:numFmt w:val="decimal"/>
      <w:suff w:val="nothing"/>
      <w:lvlText w:val="%1."/>
      <w:lvlJc w:val="left"/>
      <w:pPr>
        <w:tabs>
          <w:tab w:val="num" w:pos="0"/>
        </w:tabs>
        <w:ind w:left="0" w:hanging="0"/>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13">
    <w:lvl w:ilvl="0">
      <w:start w:val="1"/>
      <w:numFmt w:val="decimal"/>
      <w:suff w:val="nothing"/>
      <w:lvlText w:val="%1."/>
      <w:lvlJc w:val="left"/>
      <w:pPr>
        <w:tabs>
          <w:tab w:val="num" w:pos="0"/>
        </w:tabs>
        <w:ind w:left="0" w:hanging="0"/>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LibreOffice/7.3.7.2$Linux_X86_64 LibreOffice_project/30$Build-2</Application>
  <AppVersion>15.0000</AppVersion>
  <Pages>4</Pages>
  <Words>1427</Words>
  <Characters>8627</Characters>
  <CharactersWithSpaces>9951</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2024-02-22T10:28:48Z</dcterms:created>
  <dc:creator/>
  <dc:description/>
  <dc:language>en-US</dc:language>
  <cp:lastModifiedBy/>
  <dcterms:modified xsi:type="dcterms:W3CDTF">2024-03-08T10:21:00Z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